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8916" w14:textId="5D8EC77A" w:rsidR="00DB5044" w:rsidRPr="00C948AE" w:rsidRDefault="00ED00CD" w:rsidP="00C948AE">
      <w:pPr>
        <w:pStyle w:val="Title"/>
      </w:pPr>
      <w:r w:rsidRPr="00C948AE">
        <w:t xml:space="preserve">SCHEDULE </w:t>
      </w:r>
      <w:r w:rsidR="00AC2CFE">
        <w:t>LPDG</w:t>
      </w:r>
      <w:r w:rsidR="00E553F4">
        <w:t>-1</w:t>
      </w:r>
    </w:p>
    <w:p w14:paraId="16B712D9" w14:textId="344839B2" w:rsidR="00DB5044" w:rsidRDefault="00AC2CFE">
      <w:pPr>
        <w:pStyle w:val="Subtitle"/>
      </w:pPr>
      <w:r>
        <w:t xml:space="preserve">Large Power and Commercial </w:t>
      </w:r>
      <w:r w:rsidR="00C80418">
        <w:t>MEMBER</w:t>
      </w:r>
      <w:r w:rsidR="00761D1E">
        <w:t xml:space="preserve">-Owned Generation </w:t>
      </w:r>
    </w:p>
    <w:p w14:paraId="085ABA12" w14:textId="77777777" w:rsidR="00DB5044" w:rsidRDefault="00DB5044" w:rsidP="00ED00CD">
      <w:pPr>
        <w:pStyle w:val="Heading1"/>
      </w:pPr>
      <w:r>
        <w:t>Availability</w:t>
      </w:r>
    </w:p>
    <w:p w14:paraId="1BA0F099" w14:textId="7813C40B" w:rsidR="00DB5044" w:rsidRDefault="00364F57">
      <w:pPr>
        <w:pStyle w:val="BodyText"/>
      </w:pPr>
      <w:r>
        <w:t>T</w:t>
      </w:r>
      <w:r w:rsidR="00DB5044">
        <w:t xml:space="preserve">his </w:t>
      </w:r>
      <w:r w:rsidR="00BE3ABD">
        <w:t>Generation rate</w:t>
      </w:r>
      <w:r w:rsidR="00DB5044">
        <w:t xml:space="preserve"> is available to any </w:t>
      </w:r>
      <w:r w:rsidR="00433AE1">
        <w:t>member</w:t>
      </w:r>
      <w:r w:rsidR="00DB5044">
        <w:t xml:space="preserve"> </w:t>
      </w:r>
      <w:r w:rsidR="00CD4A93" w:rsidRPr="00C90E63">
        <w:t>in good standing</w:t>
      </w:r>
      <w:r w:rsidR="00CD4A93">
        <w:t xml:space="preserve"> </w:t>
      </w:r>
      <w:r w:rsidR="00DB5044">
        <w:t xml:space="preserve">of </w:t>
      </w:r>
      <w:r w:rsidR="004D72F2">
        <w:t>Noble</w:t>
      </w:r>
      <w:r w:rsidR="00DB5044">
        <w:t xml:space="preserve"> REMC </w:t>
      </w:r>
      <w:r w:rsidR="00A16939">
        <w:t>(</w:t>
      </w:r>
      <w:r w:rsidR="004D72F2">
        <w:t>Noble</w:t>
      </w:r>
      <w:r w:rsidR="00A16939">
        <w:t xml:space="preserve">) </w:t>
      </w:r>
      <w:r w:rsidR="00CD4A93">
        <w:t>who</w:t>
      </w:r>
      <w:r w:rsidR="0085040C">
        <w:t xml:space="preserve"> </w:t>
      </w:r>
      <w:r w:rsidR="00F04A88">
        <w:t>receives electric</w:t>
      </w:r>
      <w:r w:rsidR="0085040C">
        <w:t xml:space="preserve"> service and</w:t>
      </w:r>
      <w:r w:rsidR="00CD4A93">
        <w:t xml:space="preserve"> owns and operates a solar, wind, or biomass generating </w:t>
      </w:r>
      <w:r w:rsidR="00F04A88">
        <w:t>facility that</w:t>
      </w:r>
      <w:r w:rsidR="00761D1E">
        <w:t xml:space="preserve"> is</w:t>
      </w:r>
      <w:r w:rsidR="00CD4A93">
        <w:t xml:space="preserve"> designed to operate in parallel with </w:t>
      </w:r>
      <w:r w:rsidR="004D72F2">
        <w:t>Noble</w:t>
      </w:r>
      <w:r w:rsidR="00CD4A93">
        <w:t>’s distribution system.</w:t>
      </w:r>
      <w:r w:rsidR="00DB5044">
        <w:t xml:space="preserve"> </w:t>
      </w:r>
      <w:r w:rsidR="00003BE2">
        <w:t>All conditions of service must be met to qualify for this rate.</w:t>
      </w:r>
    </w:p>
    <w:p w14:paraId="083AEFEF" w14:textId="77777777" w:rsidR="00CD4A93" w:rsidRDefault="00CD4A93" w:rsidP="00ED00CD">
      <w:pPr>
        <w:pStyle w:val="Heading1"/>
      </w:pPr>
      <w:r>
        <w:t>CONDITIONS OF SERVICE</w:t>
      </w:r>
    </w:p>
    <w:p w14:paraId="581348D6" w14:textId="670AFAD6" w:rsidR="00CD4A93" w:rsidRPr="00CD4A93" w:rsidRDefault="00CD4A93" w:rsidP="00CD4A93">
      <w:pPr>
        <w:pStyle w:val="BodyText"/>
      </w:pPr>
      <w:r>
        <w:t xml:space="preserve">For purposes of this rider, </w:t>
      </w:r>
      <w:r w:rsidRPr="00CD4A93">
        <w:t xml:space="preserve">an eligible </w:t>
      </w:r>
      <w:r w:rsidR="00761D1E">
        <w:t>generation</w:t>
      </w:r>
      <w:r w:rsidRPr="00CD4A93">
        <w:t xml:space="preserve"> facility is an electrical generating facility that complies with the following requirements:</w:t>
      </w:r>
    </w:p>
    <w:p w14:paraId="76DE2F9A" w14:textId="77777777" w:rsidR="00DB5044" w:rsidRDefault="00CD4A93">
      <w:pPr>
        <w:pStyle w:val="ListNumber"/>
        <w:numPr>
          <w:ilvl w:val="0"/>
          <w:numId w:val="9"/>
        </w:numPr>
      </w:pPr>
      <w:r>
        <w:t>is fueled by solar, wind, or biomass energy;</w:t>
      </w:r>
    </w:p>
    <w:p w14:paraId="3EB0A0F8" w14:textId="77777777" w:rsidR="00DB5044" w:rsidRDefault="00CD4A93">
      <w:pPr>
        <w:pStyle w:val="ListNumber"/>
        <w:numPr>
          <w:ilvl w:val="0"/>
          <w:numId w:val="9"/>
        </w:numPr>
      </w:pPr>
      <w:r>
        <w:t>is owned and operated by the member and is located on the member’s premises;</w:t>
      </w:r>
    </w:p>
    <w:p w14:paraId="191C3159" w14:textId="77777777" w:rsidR="00CD4A93" w:rsidRDefault="00CD4A93">
      <w:pPr>
        <w:pStyle w:val="ListNumber"/>
        <w:numPr>
          <w:ilvl w:val="0"/>
          <w:numId w:val="9"/>
        </w:numPr>
      </w:pPr>
      <w:r>
        <w:t>is intended primarily to offset all or part of the member’s own electrical load requirements; and</w:t>
      </w:r>
    </w:p>
    <w:p w14:paraId="699DE258" w14:textId="77777777" w:rsidR="00CD4A93" w:rsidRDefault="00CD4A93" w:rsidP="00CD4A93">
      <w:pPr>
        <w:pStyle w:val="ListNumber"/>
        <w:numPr>
          <w:ilvl w:val="0"/>
          <w:numId w:val="9"/>
        </w:numPr>
      </w:pPr>
      <w:r>
        <w:t xml:space="preserve">is designed and installed to operate in parallel with </w:t>
      </w:r>
      <w:r w:rsidR="004D72F2">
        <w:t>Noble</w:t>
      </w:r>
      <w:r>
        <w:t xml:space="preserve">’s </w:t>
      </w:r>
      <w:r w:rsidR="007673F3">
        <w:t xml:space="preserve">distribution </w:t>
      </w:r>
      <w:r>
        <w:t xml:space="preserve">system without adversely affecting the operation of </w:t>
      </w:r>
      <w:r w:rsidR="004D72F2">
        <w:t>Noble</w:t>
      </w:r>
      <w:r>
        <w:t>’s equipment, without adversely affecting service to other members, and without presenting safety hazards.</w:t>
      </w:r>
    </w:p>
    <w:p w14:paraId="504A2DFB" w14:textId="2D51DD57" w:rsidR="00003BE2" w:rsidRDefault="00003BE2" w:rsidP="00CD4A93">
      <w:pPr>
        <w:pStyle w:val="ListNumber"/>
        <w:numPr>
          <w:ilvl w:val="0"/>
          <w:numId w:val="9"/>
        </w:numPr>
      </w:pPr>
      <w:r>
        <w:t xml:space="preserve">The member shall reimburse Noble for all upgrades to </w:t>
      </w:r>
      <w:r w:rsidR="00A37BDB">
        <w:t>its</w:t>
      </w:r>
      <w:r>
        <w:t xml:space="preserve"> distribution </w:t>
      </w:r>
      <w:r w:rsidR="00A37BDB">
        <w:t>system</w:t>
      </w:r>
      <w:r>
        <w:t xml:space="preserve"> necessary to accommodate the generation facility or </w:t>
      </w:r>
      <w:r w:rsidR="00A37BDB">
        <w:t>its</w:t>
      </w:r>
      <w:r>
        <w:t xml:space="preserve"> output.</w:t>
      </w:r>
    </w:p>
    <w:p w14:paraId="38A5239B" w14:textId="03CEA17B" w:rsidR="00E26717" w:rsidRPr="004E6D85" w:rsidRDefault="00E26717" w:rsidP="00CD4A93">
      <w:pPr>
        <w:pStyle w:val="ListNumber"/>
        <w:numPr>
          <w:ilvl w:val="0"/>
          <w:numId w:val="9"/>
        </w:numPr>
      </w:pPr>
      <w:r w:rsidRPr="004E6D85">
        <w:t>is a non-residential member.</w:t>
      </w:r>
    </w:p>
    <w:p w14:paraId="690140F4" w14:textId="77777777" w:rsidR="00CD4A93" w:rsidRDefault="00CD4A93" w:rsidP="00ED00CD">
      <w:pPr>
        <w:pStyle w:val="BodyText"/>
      </w:pPr>
      <w:r>
        <w:t xml:space="preserve">A member seeking to interconnect an eligible </w:t>
      </w:r>
      <w:r w:rsidR="00761D1E">
        <w:t>generation</w:t>
      </w:r>
      <w:r>
        <w:t xml:space="preserve"> facility to </w:t>
      </w:r>
      <w:r w:rsidR="004D72F2">
        <w:t>Noble</w:t>
      </w:r>
      <w:r>
        <w:t xml:space="preserve">’s </w:t>
      </w:r>
      <w:r w:rsidR="007673F3">
        <w:t xml:space="preserve">distribution </w:t>
      </w:r>
      <w:r>
        <w:t xml:space="preserve">system must submit a completed Application </w:t>
      </w:r>
      <w:r w:rsidR="00675802">
        <w:t xml:space="preserve">and Agreement </w:t>
      </w:r>
      <w:r>
        <w:t>for Interconnection</w:t>
      </w:r>
      <w:r w:rsidR="00832910">
        <w:t xml:space="preserve"> which </w:t>
      </w:r>
      <w:r w:rsidR="000D79DA">
        <w:t>are</w:t>
      </w:r>
      <w:r w:rsidR="00832910">
        <w:t xml:space="preserve"> available</w:t>
      </w:r>
      <w:r>
        <w:t xml:space="preserve"> upon request.</w:t>
      </w:r>
    </w:p>
    <w:p w14:paraId="3EC10B78" w14:textId="654FF591" w:rsidR="00E26717" w:rsidRPr="00E26717" w:rsidRDefault="00E26717" w:rsidP="00ED00CD">
      <w:pPr>
        <w:pStyle w:val="BodyText"/>
      </w:pPr>
      <w:r w:rsidRPr="004E6D85">
        <w:t>If a qualifying member generates more power than they consume, Noble REMC</w:t>
      </w:r>
      <w:r w:rsidR="00AC7B81" w:rsidRPr="004E6D85">
        <w:t xml:space="preserve"> may, at its discretion,</w:t>
      </w:r>
      <w:r w:rsidRPr="004E6D85">
        <w:t xml:space="preserve"> purchase any excess p</w:t>
      </w:r>
      <w:r w:rsidR="00AC7B81" w:rsidRPr="004E6D85">
        <w:t>ower</w:t>
      </w:r>
      <w:r w:rsidRPr="004E6D85">
        <w:t xml:space="preserve"> </w:t>
      </w:r>
      <w:r w:rsidR="00AC7B81" w:rsidRPr="004E6D85">
        <w:t xml:space="preserve">from the member </w:t>
      </w:r>
      <w:r w:rsidRPr="004E6D85">
        <w:t xml:space="preserve">at </w:t>
      </w:r>
      <w:r w:rsidR="00AC7B81" w:rsidRPr="004E6D85">
        <w:t>the WVPA wholesale rate (time of use) subject to the WVPA (wholesale agreement).</w:t>
      </w:r>
    </w:p>
    <w:p w14:paraId="729964DE" w14:textId="77777777" w:rsidR="00CD4A93" w:rsidRDefault="00CD4A93" w:rsidP="00ED00CD">
      <w:pPr>
        <w:pStyle w:val="BodyText"/>
      </w:pPr>
      <w:r>
        <w:t xml:space="preserve">The eligible </w:t>
      </w:r>
      <w:r w:rsidR="00761D1E">
        <w:t>generation</w:t>
      </w:r>
      <w:r>
        <w:t xml:space="preserve"> facility </w:t>
      </w:r>
      <w:r w:rsidR="00B70460">
        <w:t>shall</w:t>
      </w:r>
      <w:r>
        <w:t xml:space="preserve"> meet all applicable codes relating to the installation of electrical equipment, including the National Electric Code, the National Electric Safety Code, and state and local codes.  The eligible </w:t>
      </w:r>
      <w:r w:rsidR="0035633C">
        <w:t>generation</w:t>
      </w:r>
      <w:r>
        <w:t xml:space="preserve"> facility shall provide </w:t>
      </w:r>
      <w:r w:rsidR="004D72F2">
        <w:t>Noble</w:t>
      </w:r>
      <w:r>
        <w:t xml:space="preserve"> proof of qualified installation of the </w:t>
      </w:r>
      <w:r w:rsidR="00761D1E">
        <w:t>generation</w:t>
      </w:r>
      <w:r>
        <w:t xml:space="preserve"> facility.  Certification by a licensed electrician shall constitute acceptable proof.</w:t>
      </w:r>
    </w:p>
    <w:p w14:paraId="01BF85AC" w14:textId="77777777" w:rsidR="00CD4A93" w:rsidRDefault="00CD4A93" w:rsidP="001F1C61">
      <w:pPr>
        <w:pStyle w:val="ListNumber"/>
        <w:numPr>
          <w:ilvl w:val="0"/>
          <w:numId w:val="0"/>
        </w:numPr>
        <w:ind w:right="0"/>
      </w:pPr>
      <w:r>
        <w:t xml:space="preserve">The member shall install, operate, and maintain the </w:t>
      </w:r>
      <w:r w:rsidR="00761D1E">
        <w:t>generation</w:t>
      </w:r>
      <w:r>
        <w:t xml:space="preserve"> facility in accordance with the manufacturer’s suggested practices for safe, efficient, and reliable operation</w:t>
      </w:r>
      <w:r w:rsidR="00B70460">
        <w:t>.</w:t>
      </w:r>
    </w:p>
    <w:p w14:paraId="2B77D60D" w14:textId="77777777" w:rsidR="000331AE" w:rsidRDefault="004D72F2" w:rsidP="00ED00CD">
      <w:pPr>
        <w:pStyle w:val="BodyText"/>
      </w:pPr>
      <w:r>
        <w:t>Noble</w:t>
      </w:r>
      <w:r w:rsidR="000331AE">
        <w:t xml:space="preserve"> may perform on-site inspections to verify the proper installation and continuing safe operation of the </w:t>
      </w:r>
      <w:r w:rsidR="00761D1E">
        <w:t>generation</w:t>
      </w:r>
      <w:r w:rsidR="000331AE">
        <w:t xml:space="preserve"> facility and the interconnection facilities, at reasonable times and upon reasonable advance notice to the member.</w:t>
      </w:r>
    </w:p>
    <w:p w14:paraId="2F5B7DE7" w14:textId="28192721" w:rsidR="000331AE" w:rsidRDefault="000331AE" w:rsidP="00ED00CD">
      <w:pPr>
        <w:pStyle w:val="BodyText"/>
      </w:pPr>
      <w:r>
        <w:t xml:space="preserve">A member operating a </w:t>
      </w:r>
      <w:r w:rsidR="00761D1E">
        <w:t>generation</w:t>
      </w:r>
      <w:r>
        <w:t xml:space="preserve"> facility shall maintain commercial, or other </w:t>
      </w:r>
      <w:r w:rsidR="00883CED">
        <w:t xml:space="preserve">liability </w:t>
      </w:r>
      <w:r>
        <w:t xml:space="preserve">insurance </w:t>
      </w:r>
      <w:r w:rsidR="000D79DA">
        <w:t xml:space="preserve">providing </w:t>
      </w:r>
      <w:r>
        <w:t xml:space="preserve">coverage in the amount of </w:t>
      </w:r>
      <w:r w:rsidR="00883CED">
        <w:t>not less than</w:t>
      </w:r>
      <w:r>
        <w:t xml:space="preserve"> one </w:t>
      </w:r>
      <w:r w:rsidR="00003BE2">
        <w:t>million</w:t>
      </w:r>
      <w:r>
        <w:t xml:space="preserve"> dollars ($1</w:t>
      </w:r>
      <w:r w:rsidR="00003BE2">
        <w:t>,0</w:t>
      </w:r>
      <w:r>
        <w:t xml:space="preserve">00,000) against losses or damages arising from the </w:t>
      </w:r>
      <w:r w:rsidR="00883CED">
        <w:t xml:space="preserve">operation </w:t>
      </w:r>
      <w:r>
        <w:t xml:space="preserve">of the member’s </w:t>
      </w:r>
      <w:r w:rsidR="00761D1E">
        <w:t>generation</w:t>
      </w:r>
      <w:r>
        <w:t xml:space="preserve"> facility.  The member </w:t>
      </w:r>
      <w:r w:rsidR="00883CED">
        <w:t xml:space="preserve">shall </w:t>
      </w:r>
      <w:r w:rsidR="00837F8B">
        <w:t xml:space="preserve">submit evidence of such insurance to </w:t>
      </w:r>
      <w:r w:rsidR="004D72F2">
        <w:t>Noble</w:t>
      </w:r>
      <w:r w:rsidR="00837F8B">
        <w:t xml:space="preserve"> with the completed Application for Interconnection</w:t>
      </w:r>
      <w:r w:rsidR="00F56DCA">
        <w:t>, with Noble REMC listed as an additiona</w:t>
      </w:r>
      <w:r w:rsidR="00384A02">
        <w:t>l</w:t>
      </w:r>
      <w:r w:rsidR="00F56DCA">
        <w:t>l</w:t>
      </w:r>
      <w:r w:rsidR="00384A02">
        <w:t>y</w:t>
      </w:r>
      <w:r w:rsidR="00F56DCA">
        <w:t xml:space="preserve"> insured</w:t>
      </w:r>
      <w:r w:rsidR="00384A02">
        <w:t xml:space="preserve"> party</w:t>
      </w:r>
      <w:r w:rsidR="00837F8B">
        <w:t xml:space="preserve">.  </w:t>
      </w:r>
      <w:r w:rsidR="004D72F2">
        <w:t>Noble</w:t>
      </w:r>
      <w:r w:rsidR="00837F8B">
        <w:t>’s receipt of evidence of liability insurance does not imply an endorsement of the terms and conditions of coverage.</w:t>
      </w:r>
    </w:p>
    <w:p w14:paraId="63F9D4D7" w14:textId="77777777" w:rsidR="00DB5044" w:rsidRDefault="004D72F2" w:rsidP="001F1C61">
      <w:pPr>
        <w:pStyle w:val="BodyText"/>
        <w:tabs>
          <w:tab w:val="left" w:pos="810"/>
        </w:tabs>
      </w:pPr>
      <w:r>
        <w:t>Noble</w:t>
      </w:r>
      <w:r w:rsidR="00DB5044">
        <w:t xml:space="preserve"> will be solely responsible for determining when a </w:t>
      </w:r>
      <w:r w:rsidR="00433AE1">
        <w:t>member</w:t>
      </w:r>
      <w:r w:rsidR="007673F3">
        <w:t xml:space="preserve"> meets the</w:t>
      </w:r>
      <w:r w:rsidR="00883CED">
        <w:t xml:space="preserve"> above</w:t>
      </w:r>
      <w:r w:rsidR="007673F3">
        <w:t xml:space="preserve"> qualifications.</w:t>
      </w:r>
    </w:p>
    <w:p w14:paraId="46360986" w14:textId="77777777" w:rsidR="0076563F" w:rsidRPr="0076563F" w:rsidRDefault="0076563F" w:rsidP="007D4B5D">
      <w:pPr>
        <w:pStyle w:val="Heading1"/>
        <w:ind w:left="0" w:firstLine="0"/>
        <w:rPr>
          <w:szCs w:val="24"/>
          <w:lang w:val="en"/>
        </w:rPr>
      </w:pPr>
      <w:r w:rsidRPr="007D4B5D">
        <w:t>Member Responsibilities</w:t>
      </w:r>
      <w:r w:rsidRPr="007D4B5D">
        <w:rPr>
          <w:bCs/>
          <w:color w:val="313131"/>
          <w:sz w:val="32"/>
          <w:szCs w:val="32"/>
          <w:lang w:val="en"/>
        </w:rPr>
        <w:br/>
      </w:r>
      <w:r w:rsidRPr="0076563F">
        <w:rPr>
          <w:szCs w:val="24"/>
          <w:lang w:val="en"/>
        </w:rPr>
        <w:br/>
      </w:r>
      <w:r w:rsidRPr="0076563F">
        <w:rPr>
          <w:b w:val="0"/>
          <w:caps w:val="0"/>
          <w:spacing w:val="0"/>
          <w:kern w:val="18"/>
          <w:szCs w:val="24"/>
          <w:u w:val="none"/>
          <w:lang w:val="en"/>
        </w:rPr>
        <w:t>The Member and the generation facilities installer are responsible for coordination of design, installation, operation and maintenance of any generation system installed on Noble’s distribution system, and for conforming to the requirements of our tariffs and rules, and applicable governmental laws and regulations (local, state, and federal).</w:t>
      </w:r>
      <w:r w:rsidRPr="0076563F">
        <w:rPr>
          <w:b w:val="0"/>
          <w:caps w:val="0"/>
          <w:spacing w:val="0"/>
          <w:kern w:val="18"/>
          <w:szCs w:val="24"/>
          <w:u w:val="none"/>
          <w:lang w:val="en"/>
        </w:rPr>
        <w:br/>
      </w:r>
      <w:r w:rsidRPr="0076563F">
        <w:rPr>
          <w:b w:val="0"/>
          <w:caps w:val="0"/>
          <w:spacing w:val="0"/>
          <w:kern w:val="18"/>
          <w:szCs w:val="24"/>
          <w:u w:val="none"/>
          <w:lang w:val="en"/>
        </w:rPr>
        <w:br/>
        <w:t>These requirements are designed to protect Noble’s distribution system facilities; avoid electrical interference problems; ensure the safety of members, Noble employees and the general public; and maintain overall system reliability.</w:t>
      </w:r>
      <w:r w:rsidRPr="0076563F">
        <w:rPr>
          <w:b w:val="0"/>
          <w:caps w:val="0"/>
          <w:spacing w:val="0"/>
          <w:kern w:val="18"/>
          <w:szCs w:val="24"/>
          <w:u w:val="none"/>
          <w:lang w:val="en"/>
        </w:rPr>
        <w:br/>
      </w:r>
      <w:r w:rsidRPr="0076563F">
        <w:rPr>
          <w:b w:val="0"/>
          <w:caps w:val="0"/>
          <w:spacing w:val="0"/>
          <w:kern w:val="18"/>
          <w:szCs w:val="24"/>
          <w:u w:val="none"/>
          <w:lang w:val="en"/>
        </w:rPr>
        <w:br/>
        <w:t>The Member is required to notify Noble if a material modification is made to their generation facility at any time during or after the installation process. A material modification is any modification that changes the maximum electrical output of your facility or changes the interconnection equipment, including:</w:t>
      </w:r>
    </w:p>
    <w:p w14:paraId="22182BA7" w14:textId="77777777" w:rsidR="0076563F" w:rsidRPr="00E43AD3" w:rsidRDefault="0076563F" w:rsidP="0076563F">
      <w:pPr>
        <w:numPr>
          <w:ilvl w:val="0"/>
          <w:numId w:val="33"/>
        </w:numPr>
        <w:spacing w:before="100" w:beforeAutospacing="1" w:after="100" w:afterAutospacing="1"/>
        <w:jc w:val="left"/>
        <w:rPr>
          <w:sz w:val="24"/>
          <w:szCs w:val="24"/>
          <w:lang w:val="en"/>
        </w:rPr>
      </w:pPr>
      <w:r w:rsidRPr="00E43AD3">
        <w:rPr>
          <w:sz w:val="24"/>
          <w:szCs w:val="24"/>
          <w:lang w:val="en"/>
        </w:rPr>
        <w:t>Changing from certified to non-certified devices</w:t>
      </w:r>
    </w:p>
    <w:p w14:paraId="144F7492" w14:textId="77777777" w:rsidR="0076563F" w:rsidRPr="00E43AD3" w:rsidRDefault="0076563F" w:rsidP="0076563F">
      <w:pPr>
        <w:numPr>
          <w:ilvl w:val="0"/>
          <w:numId w:val="33"/>
        </w:numPr>
        <w:spacing w:before="100" w:beforeAutospacing="1" w:after="100" w:afterAutospacing="1"/>
        <w:jc w:val="left"/>
        <w:rPr>
          <w:sz w:val="24"/>
          <w:szCs w:val="24"/>
          <w:lang w:val="en"/>
        </w:rPr>
      </w:pPr>
      <w:r w:rsidRPr="00E43AD3">
        <w:rPr>
          <w:sz w:val="24"/>
          <w:szCs w:val="24"/>
          <w:lang w:val="en"/>
        </w:rPr>
        <w:t>Replacing a component with a component of different functionality or UL listing</w:t>
      </w:r>
    </w:p>
    <w:p w14:paraId="4737C2C8" w14:textId="77777777" w:rsidR="0076563F" w:rsidRPr="00E43AD3" w:rsidRDefault="0076563F" w:rsidP="0076563F">
      <w:pPr>
        <w:spacing w:before="100" w:beforeAutospacing="1"/>
        <w:rPr>
          <w:sz w:val="24"/>
          <w:szCs w:val="24"/>
          <w:lang w:val="en"/>
        </w:rPr>
      </w:pPr>
      <w:r>
        <w:rPr>
          <w:sz w:val="24"/>
          <w:szCs w:val="24"/>
          <w:lang w:val="en"/>
        </w:rPr>
        <w:t xml:space="preserve">The Member is </w:t>
      </w:r>
      <w:r w:rsidRPr="00E43AD3">
        <w:rPr>
          <w:sz w:val="24"/>
          <w:szCs w:val="24"/>
          <w:lang w:val="en"/>
        </w:rPr>
        <w:t xml:space="preserve">responsible for the proper installation, operation and maintenance of the specified protective devices. Finally, </w:t>
      </w:r>
      <w:r>
        <w:rPr>
          <w:sz w:val="24"/>
          <w:szCs w:val="24"/>
          <w:lang w:val="en"/>
        </w:rPr>
        <w:t xml:space="preserve">the Member </w:t>
      </w:r>
      <w:r w:rsidRPr="00E43AD3">
        <w:rPr>
          <w:sz w:val="24"/>
          <w:szCs w:val="24"/>
          <w:lang w:val="en"/>
        </w:rPr>
        <w:t xml:space="preserve">shall obtain, at </w:t>
      </w:r>
      <w:r>
        <w:rPr>
          <w:sz w:val="24"/>
          <w:szCs w:val="24"/>
          <w:lang w:val="en"/>
        </w:rPr>
        <w:t>their</w:t>
      </w:r>
      <w:r w:rsidRPr="00E43AD3">
        <w:rPr>
          <w:sz w:val="24"/>
          <w:szCs w:val="24"/>
          <w:lang w:val="en"/>
        </w:rPr>
        <w:t xml:space="preserve"> expense, any and all authorizations, permits and licenses required for the construction and operation of your generating facilities.</w:t>
      </w:r>
    </w:p>
    <w:p w14:paraId="61D63F63" w14:textId="77777777" w:rsidR="0076563F" w:rsidRPr="0076563F" w:rsidRDefault="0076563F" w:rsidP="007D4B5D">
      <w:pPr>
        <w:pStyle w:val="BodyText"/>
      </w:pPr>
    </w:p>
    <w:p w14:paraId="026738B7" w14:textId="77777777" w:rsidR="00DB5044" w:rsidRDefault="00DB5044" w:rsidP="00ED00CD">
      <w:pPr>
        <w:pStyle w:val="Heading1"/>
      </w:pPr>
      <w:r>
        <w:t>CHARACTER OF SERVICE</w:t>
      </w:r>
    </w:p>
    <w:p w14:paraId="7B0E22E4" w14:textId="25396483" w:rsidR="00A96091" w:rsidRDefault="00A96091">
      <w:pPr>
        <w:pStyle w:val="BodyText"/>
      </w:pPr>
    </w:p>
    <w:p w14:paraId="6FD528B0" w14:textId="5196B7CC" w:rsidR="00A96091" w:rsidRDefault="00A96091">
      <w:pPr>
        <w:pStyle w:val="BodyText"/>
      </w:pPr>
      <w:r>
        <w:t>Service rendered under this rider shall be as specified below:</w:t>
      </w:r>
    </w:p>
    <w:p w14:paraId="63EB3680" w14:textId="682A497A" w:rsidR="00A96091" w:rsidRDefault="00A96091" w:rsidP="007D4B5D">
      <w:pPr>
        <w:pStyle w:val="BodyText"/>
        <w:numPr>
          <w:ilvl w:val="0"/>
          <w:numId w:val="32"/>
        </w:numPr>
      </w:pPr>
      <w:r>
        <w:t>SINGLE-PHASE</w:t>
      </w:r>
    </w:p>
    <w:p w14:paraId="3E29E45B" w14:textId="59E740F4" w:rsidR="00A96091" w:rsidRDefault="00A96091" w:rsidP="007D4B5D">
      <w:pPr>
        <w:pStyle w:val="BodyText"/>
        <w:ind w:left="1080"/>
      </w:pPr>
      <w:r>
        <w:t xml:space="preserve">Single-Phase service shall be alternating current, </w:t>
      </w:r>
      <w:r w:rsidR="00A37BDB">
        <w:t>sixty</w:t>
      </w:r>
      <w:r>
        <w:t xml:space="preserve"> (60) hertz, at approximately 120/240 volts, three wire.</w:t>
      </w:r>
    </w:p>
    <w:p w14:paraId="1126EC4A" w14:textId="68FEB8C2" w:rsidR="00A96091" w:rsidRDefault="00A96091" w:rsidP="007D4B5D">
      <w:pPr>
        <w:pStyle w:val="BodyText"/>
        <w:numPr>
          <w:ilvl w:val="0"/>
          <w:numId w:val="32"/>
        </w:numPr>
      </w:pPr>
      <w:r>
        <w:t>MULTI-PHASE</w:t>
      </w:r>
    </w:p>
    <w:p w14:paraId="36E42225" w14:textId="7DDAE7EA" w:rsidR="00A96091" w:rsidRDefault="00A96091" w:rsidP="007D4B5D">
      <w:pPr>
        <w:pStyle w:val="BodyText"/>
        <w:ind w:left="1080"/>
      </w:pPr>
      <w:r>
        <w:t>Multi-Phase service shall be alternating current, sixty (60) hertz, at approximately 120/208, 120/240, or 277/480 volts, four wire.</w:t>
      </w:r>
    </w:p>
    <w:p w14:paraId="0F02EA15" w14:textId="42BF52BB" w:rsidR="00A96091" w:rsidRDefault="00A96091" w:rsidP="00A96091">
      <w:pPr>
        <w:pStyle w:val="BodyText"/>
      </w:pPr>
      <w:r>
        <w:t>Other voltages may be available upon the member’s request subject to agreement by Noble REMC.</w:t>
      </w:r>
    </w:p>
    <w:p w14:paraId="4D265F27" w14:textId="77777777" w:rsidR="00DB5044" w:rsidRDefault="00DB5044" w:rsidP="00ED00CD">
      <w:pPr>
        <w:pStyle w:val="Heading1"/>
      </w:pPr>
      <w:r>
        <w:t xml:space="preserve">TERM OF SERVICE </w:t>
      </w:r>
    </w:p>
    <w:p w14:paraId="541D2E6A" w14:textId="77777777" w:rsidR="00A33B32" w:rsidRDefault="00DB5044">
      <w:pPr>
        <w:pStyle w:val="BodyText"/>
      </w:pPr>
      <w:r>
        <w:t xml:space="preserve">So long as the </w:t>
      </w:r>
      <w:r w:rsidR="00433AE1">
        <w:t>member</w:t>
      </w:r>
      <w:r>
        <w:t xml:space="preserve"> meets the </w:t>
      </w:r>
      <w:r w:rsidR="00284C73">
        <w:t>conditions fo</w:t>
      </w:r>
      <w:r>
        <w:t xml:space="preserve">r service cited herein, service under this schedule may continue from the date the </w:t>
      </w:r>
      <w:r w:rsidR="00433AE1">
        <w:t>member</w:t>
      </w:r>
      <w:r>
        <w:t xml:space="preserve"> enters</w:t>
      </w:r>
      <w:r w:rsidR="006F0784">
        <w:t xml:space="preserve"> into</w:t>
      </w:r>
      <w:r>
        <w:t xml:space="preserve"> a contract with </w:t>
      </w:r>
      <w:r w:rsidR="004D72F2">
        <w:t>Noble</w:t>
      </w:r>
      <w:r w:rsidR="00DE36A2">
        <w:t xml:space="preserve"> until the member no longer wishes to operate the </w:t>
      </w:r>
      <w:r w:rsidR="00761D1E">
        <w:t>generation</w:t>
      </w:r>
      <w:r w:rsidR="00DE36A2">
        <w:t xml:space="preserve"> facility in parallel with </w:t>
      </w:r>
      <w:r w:rsidR="004D72F2">
        <w:t>Noble</w:t>
      </w:r>
      <w:r w:rsidR="00DE36A2">
        <w:t xml:space="preserve">’s distribution system or the schedule is withdrawn by action of </w:t>
      </w:r>
      <w:r w:rsidR="004D72F2">
        <w:t>Noble</w:t>
      </w:r>
      <w:r w:rsidR="00DE36A2">
        <w:t xml:space="preserve">’s </w:t>
      </w:r>
      <w:r w:rsidR="009C2611">
        <w:t>B</w:t>
      </w:r>
      <w:r w:rsidR="00DE36A2">
        <w:t xml:space="preserve">oard of </w:t>
      </w:r>
      <w:r w:rsidR="009C2611">
        <w:t>D</w:t>
      </w:r>
      <w:r w:rsidR="00DE36A2">
        <w:t>irectors</w:t>
      </w:r>
      <w:r w:rsidR="00284C73">
        <w:t xml:space="preserve">.  This schedule is subject to periodic review by </w:t>
      </w:r>
      <w:r w:rsidR="004D72F2">
        <w:t>Noble</w:t>
      </w:r>
      <w:r w:rsidR="00284C73">
        <w:t xml:space="preserve">’s Board of Directors and may change </w:t>
      </w:r>
      <w:r w:rsidR="00C612F8">
        <w:t>at</w:t>
      </w:r>
      <w:r w:rsidR="00284C73">
        <w:t xml:space="preserve"> their discretion</w:t>
      </w:r>
      <w:r w:rsidR="004D72F2">
        <w:t>.</w:t>
      </w:r>
    </w:p>
    <w:p w14:paraId="7E8A6AC7" w14:textId="77777777" w:rsidR="00A33B32" w:rsidRDefault="00A33B32" w:rsidP="00ED00CD">
      <w:pPr>
        <w:pStyle w:val="Heading1"/>
      </w:pPr>
      <w:r>
        <w:t>interconnection equipment</w:t>
      </w:r>
    </w:p>
    <w:p w14:paraId="1F2F3F11" w14:textId="4293FD6B" w:rsidR="00A33B32" w:rsidRDefault="00532CEF" w:rsidP="00ED00CD">
      <w:pPr>
        <w:pStyle w:val="BodyText"/>
      </w:pPr>
      <w:r>
        <w:t>All generator</w:t>
      </w:r>
      <w:r w:rsidR="005C40D2">
        <w:t xml:space="preserve"> interconnection equipment</w:t>
      </w:r>
      <w:r>
        <w:t xml:space="preserve"> </w:t>
      </w:r>
      <w:r w:rsidR="00DE36A2">
        <w:t xml:space="preserve">shall </w:t>
      </w:r>
      <w:r>
        <w:t xml:space="preserve">meet </w:t>
      </w:r>
      <w:r w:rsidR="000D79DA">
        <w:t xml:space="preserve">and be listed to UL standard 1741. </w:t>
      </w:r>
      <w:r w:rsidR="00A33B32">
        <w:t xml:space="preserve">The disconnect switch used to isolate the generator from </w:t>
      </w:r>
      <w:r w:rsidR="004D72F2">
        <w:t>Noble</w:t>
      </w:r>
      <w:r w:rsidR="00A33B32">
        <w:t xml:space="preserve">’s system </w:t>
      </w:r>
      <w:r w:rsidR="00C376E3">
        <w:t>shall</w:t>
      </w:r>
      <w:r w:rsidR="00A33B32">
        <w:t xml:space="preserve"> meet ANSI standard C37.</w:t>
      </w:r>
      <w:r w:rsidR="005F53F0">
        <w:t xml:space="preserve"> </w:t>
      </w:r>
      <w:r w:rsidR="000D79DA">
        <w:t xml:space="preserve"> </w:t>
      </w:r>
      <w:r w:rsidR="00A33B32">
        <w:t xml:space="preserve">The main circuit breaker between the </w:t>
      </w:r>
      <w:r w:rsidR="00761D1E">
        <w:t>generation</w:t>
      </w:r>
      <w:r w:rsidR="00A33B32">
        <w:t xml:space="preserve"> facility and </w:t>
      </w:r>
      <w:r w:rsidR="004D72F2">
        <w:t>Noble</w:t>
      </w:r>
      <w:r w:rsidR="00A33B32">
        <w:t xml:space="preserve">’s </w:t>
      </w:r>
      <w:r w:rsidR="005F53F0">
        <w:t xml:space="preserve">distribution </w:t>
      </w:r>
      <w:r w:rsidR="00A33B32">
        <w:t xml:space="preserve">system </w:t>
      </w:r>
      <w:r w:rsidR="005F53F0">
        <w:t xml:space="preserve">shall </w:t>
      </w:r>
      <w:r w:rsidR="00A33B32">
        <w:t>have adequate interrupting capability for the maximum expected short circuit duty and meet ANSI standard C37.</w:t>
      </w:r>
      <w:r w:rsidR="00DE36A2" w:rsidRPr="00DE36A2">
        <w:t xml:space="preserve"> </w:t>
      </w:r>
      <w:r w:rsidR="00761D1E">
        <w:t>Generation</w:t>
      </w:r>
      <w:r w:rsidR="005F53F0">
        <w:t xml:space="preserve"> facilities</w:t>
      </w:r>
      <w:r w:rsidR="00DE36A2">
        <w:t xml:space="preserve"> not meeting these standards will not be a</w:t>
      </w:r>
      <w:r w:rsidR="005F53F0">
        <w:t>pproved</w:t>
      </w:r>
      <w:r w:rsidR="00DE36A2">
        <w:t xml:space="preserve"> to connect to </w:t>
      </w:r>
      <w:r w:rsidR="004D72F2">
        <w:t>Noble</w:t>
      </w:r>
      <w:r w:rsidR="00DE36A2">
        <w:t xml:space="preserve">’s system.  </w:t>
      </w:r>
    </w:p>
    <w:p w14:paraId="426DC8F0" w14:textId="77777777" w:rsidR="00E86F0C" w:rsidRDefault="00E86F0C" w:rsidP="00ED00CD">
      <w:pPr>
        <w:pStyle w:val="BodyText"/>
      </w:pPr>
    </w:p>
    <w:p w14:paraId="7E5CDAF4" w14:textId="77777777" w:rsidR="00E86F0C" w:rsidRPr="004E6D85" w:rsidRDefault="00E86F0C" w:rsidP="00E86F0C">
      <w:pPr>
        <w:pStyle w:val="Heading1"/>
      </w:pPr>
      <w:r w:rsidRPr="004E6D85">
        <w:t>Incoming Rate Table</w:t>
      </w:r>
      <w:r w:rsidRPr="004E6D85">
        <w:fldChar w:fldCharType="begin"/>
      </w:r>
      <w:r w:rsidRPr="004E6D85">
        <w:instrText xml:space="preserve"> LINK Excel.Sheet.12 "C:\\Users\\kkill\\Desktop\\LDPG Rate Table.xlsx" "Sheet1!R2C2:R5C6" \a \f 4 \h  \* MERGEFORMAT </w:instrText>
      </w:r>
      <w:r w:rsidRPr="004E6D85">
        <w:fldChar w:fldCharType="separate"/>
      </w:r>
    </w:p>
    <w:tbl>
      <w:tblPr>
        <w:tblW w:w="6736" w:type="dxa"/>
        <w:tblLook w:val="04A0" w:firstRow="1" w:lastRow="0" w:firstColumn="1" w:lastColumn="0" w:noHBand="0" w:noVBand="1"/>
      </w:tblPr>
      <w:tblGrid>
        <w:gridCol w:w="4040"/>
        <w:gridCol w:w="876"/>
        <w:gridCol w:w="711"/>
        <w:gridCol w:w="711"/>
        <w:gridCol w:w="852"/>
      </w:tblGrid>
      <w:tr w:rsidR="00E86F0C" w:rsidRPr="004E6D85" w14:paraId="7F61425D" w14:textId="77777777" w:rsidTr="00AC242B">
        <w:trPr>
          <w:trHeight w:val="288"/>
        </w:trPr>
        <w:tc>
          <w:tcPr>
            <w:tcW w:w="40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B48CC6F" w14:textId="77777777" w:rsidR="00E86F0C" w:rsidRPr="004E6D85" w:rsidRDefault="00E86F0C" w:rsidP="00A0459F">
            <w:pPr>
              <w:jc w:val="center"/>
              <w:rPr>
                <w:color w:val="000000"/>
                <w:kern w:val="0"/>
                <w:szCs w:val="22"/>
                <w:lang w:bidi="ar-SA"/>
              </w:rPr>
            </w:pPr>
            <w:r w:rsidRPr="004E6D85">
              <w:rPr>
                <w:color w:val="000000"/>
                <w:kern w:val="0"/>
                <w:szCs w:val="22"/>
                <w:lang w:bidi="ar-SA"/>
              </w:rPr>
              <w:t>Rate</w:t>
            </w:r>
          </w:p>
        </w:tc>
        <w:tc>
          <w:tcPr>
            <w:tcW w:w="422" w:type="dxa"/>
            <w:tcBorders>
              <w:top w:val="single" w:sz="4" w:space="0" w:color="auto"/>
              <w:left w:val="nil"/>
              <w:bottom w:val="single" w:sz="4" w:space="0" w:color="auto"/>
              <w:right w:val="single" w:sz="4" w:space="0" w:color="auto"/>
            </w:tcBorders>
            <w:shd w:val="clear" w:color="auto" w:fill="auto"/>
            <w:noWrap/>
            <w:vAlign w:val="bottom"/>
            <w:hideMark/>
          </w:tcPr>
          <w:p w14:paraId="42D799A9" w14:textId="77777777" w:rsidR="00E86F0C" w:rsidRPr="004E6D85" w:rsidRDefault="00E86F0C" w:rsidP="00A0459F">
            <w:pPr>
              <w:jc w:val="right"/>
              <w:rPr>
                <w:color w:val="000000"/>
                <w:kern w:val="0"/>
                <w:szCs w:val="22"/>
                <w:lang w:bidi="ar-SA"/>
              </w:rPr>
            </w:pPr>
            <w:r w:rsidRPr="004E6D85">
              <w:rPr>
                <w:color w:val="000000"/>
                <w:kern w:val="0"/>
                <w:szCs w:val="22"/>
                <w:lang w:bidi="ar-SA"/>
              </w:rPr>
              <w:t>73</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642ED257" w14:textId="77777777" w:rsidR="00E86F0C" w:rsidRPr="004E6D85" w:rsidRDefault="00E86F0C" w:rsidP="00A0459F">
            <w:pPr>
              <w:jc w:val="right"/>
              <w:rPr>
                <w:color w:val="000000"/>
                <w:kern w:val="0"/>
                <w:szCs w:val="22"/>
                <w:lang w:bidi="ar-SA"/>
              </w:rPr>
            </w:pPr>
            <w:r w:rsidRPr="004E6D85">
              <w:rPr>
                <w:color w:val="000000"/>
                <w:kern w:val="0"/>
                <w:szCs w:val="22"/>
                <w:lang w:bidi="ar-SA"/>
              </w:rPr>
              <w:t>74</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73484DA9" w14:textId="77777777" w:rsidR="00E86F0C" w:rsidRPr="004E6D85" w:rsidRDefault="00E86F0C" w:rsidP="00A0459F">
            <w:pPr>
              <w:jc w:val="right"/>
              <w:rPr>
                <w:color w:val="000000"/>
                <w:kern w:val="0"/>
                <w:szCs w:val="22"/>
                <w:lang w:bidi="ar-SA"/>
              </w:rPr>
            </w:pPr>
            <w:r w:rsidRPr="004E6D85">
              <w:rPr>
                <w:color w:val="000000"/>
                <w:kern w:val="0"/>
                <w:szCs w:val="22"/>
                <w:lang w:bidi="ar-SA"/>
              </w:rPr>
              <w:t>75</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37D8487A" w14:textId="77777777" w:rsidR="00E86F0C" w:rsidRPr="004E6D85" w:rsidRDefault="00E86F0C" w:rsidP="00A0459F">
            <w:pPr>
              <w:jc w:val="right"/>
              <w:rPr>
                <w:color w:val="000000"/>
                <w:kern w:val="0"/>
                <w:szCs w:val="22"/>
                <w:lang w:bidi="ar-SA"/>
              </w:rPr>
            </w:pPr>
            <w:r w:rsidRPr="004E6D85">
              <w:rPr>
                <w:color w:val="000000"/>
                <w:kern w:val="0"/>
                <w:szCs w:val="22"/>
                <w:lang w:bidi="ar-SA"/>
              </w:rPr>
              <w:t>76</w:t>
            </w:r>
          </w:p>
        </w:tc>
      </w:tr>
      <w:tr w:rsidR="00E86F0C" w:rsidRPr="004E6D85" w14:paraId="6C27513E" w14:textId="77777777" w:rsidTr="00AC242B">
        <w:trPr>
          <w:trHeight w:val="288"/>
        </w:trPr>
        <w:tc>
          <w:tcPr>
            <w:tcW w:w="4040" w:type="dxa"/>
            <w:tcBorders>
              <w:top w:val="nil"/>
              <w:left w:val="single" w:sz="8" w:space="0" w:color="auto"/>
              <w:bottom w:val="single" w:sz="4" w:space="0" w:color="auto"/>
              <w:right w:val="single" w:sz="8" w:space="0" w:color="auto"/>
            </w:tcBorders>
            <w:shd w:val="clear" w:color="auto" w:fill="auto"/>
            <w:noWrap/>
            <w:vAlign w:val="bottom"/>
            <w:hideMark/>
          </w:tcPr>
          <w:p w14:paraId="513BE604" w14:textId="092FA47E" w:rsidR="00E86F0C" w:rsidRPr="004E6D85" w:rsidRDefault="00E86F0C" w:rsidP="00A0459F">
            <w:pPr>
              <w:jc w:val="center"/>
              <w:rPr>
                <w:color w:val="000000"/>
                <w:kern w:val="0"/>
                <w:szCs w:val="22"/>
                <w:lang w:bidi="ar-SA"/>
              </w:rPr>
            </w:pPr>
            <w:r w:rsidRPr="004E6D85">
              <w:rPr>
                <w:color w:val="000000"/>
                <w:kern w:val="0"/>
                <w:szCs w:val="22"/>
                <w:lang w:bidi="ar-SA"/>
              </w:rPr>
              <w:t>Non C</w:t>
            </w:r>
            <w:r w:rsidR="00AC242B" w:rsidRPr="004E6D85">
              <w:rPr>
                <w:color w:val="000000"/>
                <w:kern w:val="0"/>
                <w:szCs w:val="22"/>
                <w:lang w:bidi="ar-SA"/>
              </w:rPr>
              <w:t>o</w:t>
            </w:r>
            <w:r w:rsidRPr="004E6D85">
              <w:rPr>
                <w:color w:val="000000"/>
                <w:kern w:val="0"/>
                <w:szCs w:val="22"/>
                <w:lang w:bidi="ar-SA"/>
              </w:rPr>
              <w:t>-</w:t>
            </w:r>
            <w:proofErr w:type="gramStart"/>
            <w:r w:rsidRPr="004E6D85">
              <w:rPr>
                <w:color w:val="000000"/>
                <w:kern w:val="0"/>
                <w:szCs w:val="22"/>
                <w:lang w:bidi="ar-SA"/>
              </w:rPr>
              <w:t xml:space="preserve">Gen </w:t>
            </w:r>
            <w:r w:rsidR="00AC242B" w:rsidRPr="004E6D85">
              <w:rPr>
                <w:color w:val="000000"/>
                <w:kern w:val="0"/>
                <w:szCs w:val="22"/>
                <w:lang w:bidi="ar-SA"/>
              </w:rPr>
              <w:t xml:space="preserve"> </w:t>
            </w:r>
            <w:r w:rsidRPr="004E6D85">
              <w:rPr>
                <w:color w:val="000000"/>
                <w:kern w:val="0"/>
                <w:szCs w:val="22"/>
                <w:lang w:bidi="ar-SA"/>
              </w:rPr>
              <w:t>Applicable</w:t>
            </w:r>
            <w:proofErr w:type="gramEnd"/>
            <w:r w:rsidRPr="004E6D85">
              <w:rPr>
                <w:color w:val="000000"/>
                <w:kern w:val="0"/>
                <w:szCs w:val="22"/>
                <w:lang w:bidi="ar-SA"/>
              </w:rPr>
              <w:t xml:space="preserve"> Rate</w:t>
            </w:r>
          </w:p>
        </w:tc>
        <w:tc>
          <w:tcPr>
            <w:tcW w:w="422" w:type="dxa"/>
            <w:tcBorders>
              <w:top w:val="nil"/>
              <w:left w:val="nil"/>
              <w:bottom w:val="single" w:sz="4" w:space="0" w:color="auto"/>
              <w:right w:val="single" w:sz="4" w:space="0" w:color="auto"/>
            </w:tcBorders>
            <w:shd w:val="clear" w:color="auto" w:fill="auto"/>
            <w:noWrap/>
            <w:vAlign w:val="bottom"/>
            <w:hideMark/>
          </w:tcPr>
          <w:p w14:paraId="01F40797" w14:textId="77777777" w:rsidR="00E86F0C" w:rsidRPr="004E6D85" w:rsidRDefault="00E86F0C" w:rsidP="00A0459F">
            <w:pPr>
              <w:jc w:val="left"/>
              <w:rPr>
                <w:color w:val="000000"/>
                <w:kern w:val="0"/>
                <w:szCs w:val="22"/>
                <w:lang w:bidi="ar-SA"/>
              </w:rPr>
            </w:pPr>
            <w:r w:rsidRPr="004E6D85">
              <w:rPr>
                <w:color w:val="000000"/>
                <w:kern w:val="0"/>
                <w:szCs w:val="22"/>
                <w:lang w:bidi="ar-SA"/>
              </w:rPr>
              <w:t>21,3,31</w:t>
            </w:r>
          </w:p>
        </w:tc>
        <w:tc>
          <w:tcPr>
            <w:tcW w:w="711" w:type="dxa"/>
            <w:tcBorders>
              <w:top w:val="nil"/>
              <w:left w:val="nil"/>
              <w:bottom w:val="single" w:sz="4" w:space="0" w:color="auto"/>
              <w:right w:val="single" w:sz="4" w:space="0" w:color="auto"/>
            </w:tcBorders>
            <w:shd w:val="clear" w:color="auto" w:fill="auto"/>
            <w:noWrap/>
            <w:vAlign w:val="bottom"/>
            <w:hideMark/>
          </w:tcPr>
          <w:p w14:paraId="09D3E10F" w14:textId="77777777" w:rsidR="00E86F0C" w:rsidRPr="004E6D85" w:rsidRDefault="00E86F0C" w:rsidP="00A0459F">
            <w:pPr>
              <w:jc w:val="right"/>
              <w:rPr>
                <w:color w:val="000000"/>
                <w:kern w:val="0"/>
                <w:szCs w:val="22"/>
                <w:lang w:bidi="ar-SA"/>
              </w:rPr>
            </w:pPr>
            <w:r w:rsidRPr="004E6D85">
              <w:rPr>
                <w:color w:val="000000"/>
                <w:kern w:val="0"/>
                <w:szCs w:val="22"/>
                <w:lang w:bidi="ar-SA"/>
              </w:rPr>
              <w:t>4</w:t>
            </w:r>
          </w:p>
        </w:tc>
        <w:tc>
          <w:tcPr>
            <w:tcW w:w="711" w:type="dxa"/>
            <w:tcBorders>
              <w:top w:val="nil"/>
              <w:left w:val="nil"/>
              <w:bottom w:val="single" w:sz="4" w:space="0" w:color="auto"/>
              <w:right w:val="single" w:sz="4" w:space="0" w:color="auto"/>
            </w:tcBorders>
            <w:shd w:val="clear" w:color="auto" w:fill="auto"/>
            <w:noWrap/>
            <w:vAlign w:val="bottom"/>
            <w:hideMark/>
          </w:tcPr>
          <w:p w14:paraId="206DAE95" w14:textId="77777777" w:rsidR="00E86F0C" w:rsidRPr="004E6D85" w:rsidRDefault="00E86F0C" w:rsidP="00A0459F">
            <w:pPr>
              <w:jc w:val="right"/>
              <w:rPr>
                <w:color w:val="000000"/>
                <w:kern w:val="0"/>
                <w:szCs w:val="22"/>
                <w:lang w:bidi="ar-SA"/>
              </w:rPr>
            </w:pPr>
            <w:r w:rsidRPr="004E6D85">
              <w:rPr>
                <w:color w:val="000000"/>
                <w:kern w:val="0"/>
                <w:szCs w:val="22"/>
                <w:lang w:bidi="ar-SA"/>
              </w:rPr>
              <w:t>41</w:t>
            </w:r>
          </w:p>
        </w:tc>
        <w:tc>
          <w:tcPr>
            <w:tcW w:w="852" w:type="dxa"/>
            <w:tcBorders>
              <w:top w:val="nil"/>
              <w:left w:val="nil"/>
              <w:bottom w:val="single" w:sz="4" w:space="0" w:color="auto"/>
              <w:right w:val="single" w:sz="4" w:space="0" w:color="auto"/>
            </w:tcBorders>
            <w:shd w:val="clear" w:color="auto" w:fill="auto"/>
            <w:noWrap/>
            <w:vAlign w:val="bottom"/>
            <w:hideMark/>
          </w:tcPr>
          <w:p w14:paraId="2ACF4218" w14:textId="77777777" w:rsidR="00E86F0C" w:rsidRPr="004E6D85" w:rsidRDefault="00E86F0C" w:rsidP="00A0459F">
            <w:pPr>
              <w:jc w:val="right"/>
              <w:rPr>
                <w:color w:val="000000"/>
                <w:kern w:val="0"/>
                <w:szCs w:val="22"/>
                <w:lang w:bidi="ar-SA"/>
              </w:rPr>
            </w:pPr>
            <w:r w:rsidRPr="004E6D85">
              <w:rPr>
                <w:color w:val="000000"/>
                <w:kern w:val="0"/>
                <w:szCs w:val="22"/>
                <w:lang w:bidi="ar-SA"/>
              </w:rPr>
              <w:t>42</w:t>
            </w:r>
          </w:p>
        </w:tc>
      </w:tr>
      <w:tr w:rsidR="00E86F0C" w:rsidRPr="004E6D85" w14:paraId="62738577" w14:textId="77777777" w:rsidTr="00AC242B">
        <w:trPr>
          <w:trHeight w:val="288"/>
        </w:trPr>
        <w:tc>
          <w:tcPr>
            <w:tcW w:w="4040" w:type="dxa"/>
            <w:tcBorders>
              <w:top w:val="nil"/>
              <w:left w:val="single" w:sz="8" w:space="0" w:color="auto"/>
              <w:bottom w:val="single" w:sz="4" w:space="0" w:color="auto"/>
              <w:right w:val="single" w:sz="8" w:space="0" w:color="auto"/>
            </w:tcBorders>
            <w:shd w:val="clear" w:color="auto" w:fill="auto"/>
            <w:noWrap/>
            <w:vAlign w:val="bottom"/>
            <w:hideMark/>
          </w:tcPr>
          <w:p w14:paraId="3B64BAC3" w14:textId="1C2399FE" w:rsidR="00E86F0C" w:rsidRPr="004E6D85" w:rsidRDefault="00AC242B" w:rsidP="00A0459F">
            <w:pPr>
              <w:jc w:val="center"/>
              <w:rPr>
                <w:color w:val="000000"/>
                <w:kern w:val="0"/>
                <w:szCs w:val="22"/>
                <w:lang w:bidi="ar-SA"/>
              </w:rPr>
            </w:pPr>
            <w:r w:rsidRPr="004E6D85">
              <w:rPr>
                <w:color w:val="000000"/>
                <w:kern w:val="0"/>
                <w:szCs w:val="22"/>
                <w:lang w:bidi="ar-SA"/>
              </w:rPr>
              <w:t xml:space="preserve">Co-Gen </w:t>
            </w:r>
            <w:r w:rsidR="00E86F0C" w:rsidRPr="004E6D85">
              <w:rPr>
                <w:color w:val="000000"/>
                <w:kern w:val="0"/>
                <w:szCs w:val="22"/>
                <w:lang w:bidi="ar-SA"/>
              </w:rPr>
              <w:t>Fixed Monthly Charge</w:t>
            </w:r>
          </w:p>
        </w:tc>
        <w:tc>
          <w:tcPr>
            <w:tcW w:w="422" w:type="dxa"/>
            <w:tcBorders>
              <w:top w:val="nil"/>
              <w:left w:val="nil"/>
              <w:bottom w:val="single" w:sz="4" w:space="0" w:color="auto"/>
              <w:right w:val="single" w:sz="4" w:space="0" w:color="auto"/>
            </w:tcBorders>
            <w:shd w:val="clear" w:color="auto" w:fill="auto"/>
            <w:noWrap/>
            <w:vAlign w:val="bottom"/>
            <w:hideMark/>
          </w:tcPr>
          <w:p w14:paraId="225D970B" w14:textId="77777777" w:rsidR="00E86F0C" w:rsidRPr="004E6D85" w:rsidRDefault="00E86F0C" w:rsidP="00A0459F">
            <w:pPr>
              <w:jc w:val="right"/>
              <w:rPr>
                <w:color w:val="000000"/>
                <w:kern w:val="0"/>
                <w:szCs w:val="22"/>
                <w:lang w:bidi="ar-SA"/>
              </w:rPr>
            </w:pPr>
            <w:r w:rsidRPr="004E6D85">
              <w:rPr>
                <w:color w:val="000000"/>
                <w:kern w:val="0"/>
                <w:szCs w:val="22"/>
                <w:lang w:bidi="ar-SA"/>
              </w:rPr>
              <w:t>$105</w:t>
            </w:r>
          </w:p>
        </w:tc>
        <w:tc>
          <w:tcPr>
            <w:tcW w:w="711" w:type="dxa"/>
            <w:tcBorders>
              <w:top w:val="nil"/>
              <w:left w:val="nil"/>
              <w:bottom w:val="single" w:sz="4" w:space="0" w:color="auto"/>
              <w:right w:val="single" w:sz="4" w:space="0" w:color="auto"/>
            </w:tcBorders>
            <w:shd w:val="clear" w:color="auto" w:fill="auto"/>
            <w:noWrap/>
            <w:vAlign w:val="bottom"/>
            <w:hideMark/>
          </w:tcPr>
          <w:p w14:paraId="7B78506B" w14:textId="77777777" w:rsidR="00E86F0C" w:rsidRPr="004E6D85" w:rsidRDefault="00E86F0C" w:rsidP="00A0459F">
            <w:pPr>
              <w:jc w:val="right"/>
              <w:rPr>
                <w:color w:val="000000"/>
                <w:kern w:val="0"/>
                <w:szCs w:val="22"/>
                <w:lang w:bidi="ar-SA"/>
              </w:rPr>
            </w:pPr>
            <w:r w:rsidRPr="004E6D85">
              <w:rPr>
                <w:color w:val="000000"/>
                <w:kern w:val="0"/>
                <w:szCs w:val="22"/>
                <w:lang w:bidi="ar-SA"/>
              </w:rPr>
              <w:t>$140</w:t>
            </w:r>
          </w:p>
        </w:tc>
        <w:tc>
          <w:tcPr>
            <w:tcW w:w="711" w:type="dxa"/>
            <w:tcBorders>
              <w:top w:val="nil"/>
              <w:left w:val="nil"/>
              <w:bottom w:val="single" w:sz="4" w:space="0" w:color="auto"/>
              <w:right w:val="single" w:sz="4" w:space="0" w:color="auto"/>
            </w:tcBorders>
            <w:shd w:val="clear" w:color="auto" w:fill="auto"/>
            <w:noWrap/>
            <w:vAlign w:val="bottom"/>
            <w:hideMark/>
          </w:tcPr>
          <w:p w14:paraId="51B20764" w14:textId="77777777" w:rsidR="00E86F0C" w:rsidRPr="004E6D85" w:rsidRDefault="00E86F0C" w:rsidP="00A0459F">
            <w:pPr>
              <w:jc w:val="right"/>
              <w:rPr>
                <w:color w:val="000000"/>
                <w:kern w:val="0"/>
                <w:szCs w:val="22"/>
                <w:lang w:bidi="ar-SA"/>
              </w:rPr>
            </w:pPr>
            <w:r w:rsidRPr="004E6D85">
              <w:rPr>
                <w:color w:val="000000"/>
                <w:kern w:val="0"/>
                <w:szCs w:val="22"/>
                <w:lang w:bidi="ar-SA"/>
              </w:rPr>
              <w:t>$140</w:t>
            </w:r>
          </w:p>
        </w:tc>
        <w:tc>
          <w:tcPr>
            <w:tcW w:w="852" w:type="dxa"/>
            <w:tcBorders>
              <w:top w:val="nil"/>
              <w:left w:val="nil"/>
              <w:bottom w:val="single" w:sz="4" w:space="0" w:color="auto"/>
              <w:right w:val="single" w:sz="4" w:space="0" w:color="auto"/>
            </w:tcBorders>
            <w:shd w:val="clear" w:color="auto" w:fill="auto"/>
            <w:noWrap/>
            <w:vAlign w:val="bottom"/>
            <w:hideMark/>
          </w:tcPr>
          <w:p w14:paraId="35D25E2C" w14:textId="77777777" w:rsidR="00E86F0C" w:rsidRPr="004E6D85" w:rsidRDefault="00E86F0C" w:rsidP="00A0459F">
            <w:pPr>
              <w:jc w:val="right"/>
              <w:rPr>
                <w:color w:val="000000"/>
                <w:kern w:val="0"/>
                <w:szCs w:val="22"/>
                <w:lang w:bidi="ar-SA"/>
              </w:rPr>
            </w:pPr>
            <w:r w:rsidRPr="004E6D85">
              <w:rPr>
                <w:color w:val="000000"/>
                <w:kern w:val="0"/>
                <w:szCs w:val="22"/>
                <w:lang w:bidi="ar-SA"/>
              </w:rPr>
              <w:t>$140</w:t>
            </w:r>
          </w:p>
        </w:tc>
      </w:tr>
      <w:tr w:rsidR="00E86F0C" w:rsidRPr="004E6D85" w14:paraId="6E4125BF" w14:textId="77777777" w:rsidTr="00AC242B">
        <w:trPr>
          <w:trHeight w:val="300"/>
        </w:trPr>
        <w:tc>
          <w:tcPr>
            <w:tcW w:w="4040" w:type="dxa"/>
            <w:tcBorders>
              <w:top w:val="nil"/>
              <w:left w:val="single" w:sz="8" w:space="0" w:color="auto"/>
              <w:bottom w:val="single" w:sz="8" w:space="0" w:color="auto"/>
              <w:right w:val="single" w:sz="8" w:space="0" w:color="auto"/>
            </w:tcBorders>
            <w:shd w:val="clear" w:color="auto" w:fill="auto"/>
            <w:noWrap/>
            <w:vAlign w:val="bottom"/>
            <w:hideMark/>
          </w:tcPr>
          <w:p w14:paraId="04D40B03" w14:textId="358F5C4E" w:rsidR="00E86F0C" w:rsidRPr="004E6D85" w:rsidRDefault="00AC242B" w:rsidP="00A0459F">
            <w:pPr>
              <w:jc w:val="center"/>
              <w:rPr>
                <w:color w:val="000000"/>
                <w:kern w:val="0"/>
                <w:szCs w:val="22"/>
                <w:lang w:bidi="ar-SA"/>
              </w:rPr>
            </w:pPr>
            <w:r w:rsidRPr="004E6D85">
              <w:rPr>
                <w:color w:val="000000"/>
                <w:kern w:val="0"/>
                <w:szCs w:val="22"/>
                <w:lang w:bidi="ar-SA"/>
              </w:rPr>
              <w:t xml:space="preserve">Co-Gen </w:t>
            </w:r>
            <w:r w:rsidR="00E86F0C" w:rsidRPr="004E6D85">
              <w:rPr>
                <w:color w:val="000000"/>
                <w:kern w:val="0"/>
                <w:szCs w:val="22"/>
                <w:lang w:bidi="ar-SA"/>
              </w:rPr>
              <w:t>Distribution Demand Charge</w:t>
            </w:r>
          </w:p>
        </w:tc>
        <w:tc>
          <w:tcPr>
            <w:tcW w:w="422" w:type="dxa"/>
            <w:tcBorders>
              <w:top w:val="nil"/>
              <w:left w:val="nil"/>
              <w:bottom w:val="single" w:sz="4" w:space="0" w:color="auto"/>
              <w:right w:val="single" w:sz="4" w:space="0" w:color="auto"/>
            </w:tcBorders>
            <w:shd w:val="clear" w:color="auto" w:fill="auto"/>
            <w:noWrap/>
            <w:vAlign w:val="bottom"/>
            <w:hideMark/>
          </w:tcPr>
          <w:p w14:paraId="55B73154" w14:textId="77777777" w:rsidR="00E86F0C" w:rsidRPr="004E6D85" w:rsidRDefault="00E86F0C" w:rsidP="00A0459F">
            <w:pPr>
              <w:jc w:val="right"/>
              <w:rPr>
                <w:color w:val="000000"/>
                <w:kern w:val="0"/>
                <w:szCs w:val="22"/>
                <w:lang w:bidi="ar-SA"/>
              </w:rPr>
            </w:pPr>
            <w:r w:rsidRPr="004E6D85">
              <w:rPr>
                <w:color w:val="000000"/>
                <w:kern w:val="0"/>
                <w:szCs w:val="22"/>
                <w:lang w:bidi="ar-SA"/>
              </w:rPr>
              <w:t>$6.25</w:t>
            </w:r>
          </w:p>
        </w:tc>
        <w:tc>
          <w:tcPr>
            <w:tcW w:w="711" w:type="dxa"/>
            <w:tcBorders>
              <w:top w:val="nil"/>
              <w:left w:val="nil"/>
              <w:bottom w:val="single" w:sz="4" w:space="0" w:color="auto"/>
              <w:right w:val="single" w:sz="4" w:space="0" w:color="auto"/>
            </w:tcBorders>
            <w:shd w:val="clear" w:color="auto" w:fill="auto"/>
            <w:noWrap/>
            <w:vAlign w:val="bottom"/>
            <w:hideMark/>
          </w:tcPr>
          <w:p w14:paraId="6FEC490A" w14:textId="77777777" w:rsidR="00E86F0C" w:rsidRPr="004E6D85" w:rsidRDefault="00E86F0C" w:rsidP="00A0459F">
            <w:pPr>
              <w:jc w:val="right"/>
              <w:rPr>
                <w:color w:val="000000"/>
                <w:kern w:val="0"/>
                <w:szCs w:val="22"/>
                <w:lang w:bidi="ar-SA"/>
              </w:rPr>
            </w:pPr>
            <w:r w:rsidRPr="004E6D85">
              <w:rPr>
                <w:color w:val="000000"/>
                <w:kern w:val="0"/>
                <w:szCs w:val="22"/>
                <w:lang w:bidi="ar-SA"/>
              </w:rPr>
              <w:t>$6.25</w:t>
            </w:r>
          </w:p>
        </w:tc>
        <w:tc>
          <w:tcPr>
            <w:tcW w:w="711" w:type="dxa"/>
            <w:tcBorders>
              <w:top w:val="nil"/>
              <w:left w:val="nil"/>
              <w:bottom w:val="single" w:sz="4" w:space="0" w:color="auto"/>
              <w:right w:val="single" w:sz="4" w:space="0" w:color="auto"/>
            </w:tcBorders>
            <w:shd w:val="clear" w:color="auto" w:fill="auto"/>
            <w:noWrap/>
            <w:vAlign w:val="bottom"/>
            <w:hideMark/>
          </w:tcPr>
          <w:p w14:paraId="56BB098E" w14:textId="77777777" w:rsidR="00E86F0C" w:rsidRPr="004E6D85" w:rsidRDefault="00E86F0C" w:rsidP="00A0459F">
            <w:pPr>
              <w:jc w:val="right"/>
              <w:rPr>
                <w:color w:val="000000"/>
                <w:kern w:val="0"/>
                <w:szCs w:val="22"/>
                <w:lang w:bidi="ar-SA"/>
              </w:rPr>
            </w:pPr>
            <w:r w:rsidRPr="004E6D85">
              <w:rPr>
                <w:color w:val="000000"/>
                <w:kern w:val="0"/>
                <w:szCs w:val="22"/>
                <w:lang w:bidi="ar-SA"/>
              </w:rPr>
              <w:t>$6.10</w:t>
            </w:r>
          </w:p>
        </w:tc>
        <w:tc>
          <w:tcPr>
            <w:tcW w:w="852" w:type="dxa"/>
            <w:tcBorders>
              <w:top w:val="nil"/>
              <w:left w:val="nil"/>
              <w:bottom w:val="single" w:sz="4" w:space="0" w:color="auto"/>
              <w:right w:val="single" w:sz="4" w:space="0" w:color="auto"/>
            </w:tcBorders>
            <w:shd w:val="clear" w:color="auto" w:fill="auto"/>
            <w:noWrap/>
            <w:vAlign w:val="bottom"/>
            <w:hideMark/>
          </w:tcPr>
          <w:p w14:paraId="606A6F6A" w14:textId="77777777" w:rsidR="00E86F0C" w:rsidRPr="004E6D85" w:rsidRDefault="00E86F0C" w:rsidP="00A0459F">
            <w:pPr>
              <w:jc w:val="right"/>
              <w:rPr>
                <w:color w:val="000000"/>
                <w:kern w:val="0"/>
                <w:szCs w:val="22"/>
                <w:lang w:bidi="ar-SA"/>
              </w:rPr>
            </w:pPr>
            <w:r w:rsidRPr="004E6D85">
              <w:rPr>
                <w:color w:val="000000"/>
                <w:kern w:val="0"/>
                <w:szCs w:val="22"/>
                <w:lang w:bidi="ar-SA"/>
              </w:rPr>
              <w:t>$5.90</w:t>
            </w:r>
          </w:p>
        </w:tc>
      </w:tr>
    </w:tbl>
    <w:p w14:paraId="73D1E48B" w14:textId="54521456" w:rsidR="00E86F0C" w:rsidRDefault="00E86F0C" w:rsidP="00ED00CD">
      <w:pPr>
        <w:pStyle w:val="BodyText"/>
      </w:pPr>
      <w:r w:rsidRPr="004E6D85">
        <w:fldChar w:fldCharType="end"/>
      </w:r>
    </w:p>
    <w:p w14:paraId="729342DE" w14:textId="77777777" w:rsidR="00DB5044" w:rsidRDefault="00DB5044" w:rsidP="00ED00CD">
      <w:pPr>
        <w:pStyle w:val="Heading1"/>
      </w:pPr>
      <w:r>
        <w:t>Monthly charge</w:t>
      </w:r>
      <w:r w:rsidR="005C40D2">
        <w:t>s</w:t>
      </w:r>
    </w:p>
    <w:p w14:paraId="16793ABC" w14:textId="632B7370" w:rsidR="002C6347" w:rsidRDefault="002C6347" w:rsidP="002C6347">
      <w:pPr>
        <w:pStyle w:val="BodyText"/>
      </w:pPr>
      <w:r>
        <w:t>The total bill for service shall be the sum of the applicable Distribution Service charges and Power Supply Service charges as shown below.</w:t>
      </w:r>
    </w:p>
    <w:p w14:paraId="43CEE9FB" w14:textId="32889F28" w:rsidR="002C6347" w:rsidRPr="00CE675C" w:rsidRDefault="002C6347" w:rsidP="00CE675C">
      <w:pPr>
        <w:pStyle w:val="Heading2"/>
      </w:pPr>
      <w:r w:rsidRPr="002C6347">
        <w:t xml:space="preserve">Distribution </w:t>
      </w:r>
      <w:r w:rsidR="00CE675C">
        <w:t>Service</w:t>
      </w:r>
      <w:r w:rsidRPr="00CE675C">
        <w:t xml:space="preserve"> </w:t>
      </w:r>
    </w:p>
    <w:p w14:paraId="73F3180C" w14:textId="7A07FF9B" w:rsidR="00CE675C" w:rsidRDefault="001B3A3D" w:rsidP="00DB2FEF">
      <w:pPr>
        <w:pStyle w:val="Heading3"/>
      </w:pPr>
      <w:r>
        <w:t>Fixed Monthly Charge</w:t>
      </w:r>
    </w:p>
    <w:p w14:paraId="4FEE8AB5" w14:textId="1F857BC7" w:rsidR="00CE675C" w:rsidRPr="00983FE6" w:rsidRDefault="001B3A3D" w:rsidP="00185655">
      <w:pPr>
        <w:pStyle w:val="BodyTextIndent2"/>
      </w:pPr>
      <w:r>
        <w:t>Fixed Monthly</w:t>
      </w:r>
      <w:r w:rsidR="00A96091" w:rsidRPr="00983FE6">
        <w:t xml:space="preserve"> </w:t>
      </w:r>
      <w:r w:rsidR="00CE675C" w:rsidRPr="00983FE6">
        <w:t>Charge per Service Location per Month:</w:t>
      </w:r>
    </w:p>
    <w:tbl>
      <w:tblPr>
        <w:tblW w:w="7902" w:type="dxa"/>
        <w:tblInd w:w="828" w:type="dxa"/>
        <w:tblLayout w:type="fixed"/>
        <w:tblLook w:val="0000" w:firstRow="0" w:lastRow="0" w:firstColumn="0" w:lastColumn="0" w:noHBand="0" w:noVBand="0"/>
      </w:tblPr>
      <w:tblGrid>
        <w:gridCol w:w="6552"/>
        <w:gridCol w:w="1350"/>
      </w:tblGrid>
      <w:tr w:rsidR="00215F79" w14:paraId="3CCE6CEE" w14:textId="77777777" w:rsidTr="00185655">
        <w:trPr>
          <w:trHeight w:val="342"/>
        </w:trPr>
        <w:tc>
          <w:tcPr>
            <w:tcW w:w="6552" w:type="dxa"/>
          </w:tcPr>
          <w:p w14:paraId="0D4C0F75" w14:textId="5F887429" w:rsidR="00215F79" w:rsidRPr="00B40767" w:rsidRDefault="00215F79" w:rsidP="00215F79">
            <w:pPr>
              <w:rPr>
                <w:color w:val="FF0000"/>
              </w:rPr>
            </w:pPr>
            <w:r w:rsidRPr="00AE3AC8">
              <w:rPr>
                <w:kern w:val="0"/>
              </w:rPr>
              <w:t>Customers qualifying for service under Schedule GSD</w:t>
            </w:r>
            <w:r w:rsidR="00B40767">
              <w:rPr>
                <w:color w:val="FF0000"/>
                <w:kern w:val="0"/>
              </w:rPr>
              <w:t xml:space="preserve">, </w:t>
            </w:r>
            <w:r w:rsidR="00B40767" w:rsidRPr="00D63F23">
              <w:rPr>
                <w:kern w:val="0"/>
              </w:rPr>
              <w:t>GS Three Phase</w:t>
            </w:r>
            <w:r w:rsidR="008B0CD1">
              <w:rPr>
                <w:kern w:val="0"/>
              </w:rPr>
              <w:t xml:space="preserve"> </w:t>
            </w:r>
          </w:p>
        </w:tc>
        <w:tc>
          <w:tcPr>
            <w:tcW w:w="1350" w:type="dxa"/>
          </w:tcPr>
          <w:p w14:paraId="39F9BCD8" w14:textId="77777777" w:rsidR="00215F79" w:rsidRDefault="00215F79" w:rsidP="00215F79">
            <w:pPr>
              <w:jc w:val="right"/>
            </w:pPr>
            <w:r>
              <w:t>$105.00</w:t>
            </w:r>
          </w:p>
        </w:tc>
      </w:tr>
      <w:tr w:rsidR="00215F79" w14:paraId="19AEC9E2" w14:textId="77777777" w:rsidTr="00185655">
        <w:trPr>
          <w:trHeight w:val="90"/>
        </w:trPr>
        <w:tc>
          <w:tcPr>
            <w:tcW w:w="6552" w:type="dxa"/>
          </w:tcPr>
          <w:p w14:paraId="5635C4B8" w14:textId="28A7CB73" w:rsidR="00215F79" w:rsidRDefault="00215F79" w:rsidP="00AE3AC8">
            <w:pPr>
              <w:rPr>
                <w:kern w:val="0"/>
              </w:rPr>
            </w:pPr>
            <w:r>
              <w:rPr>
                <w:lang w:bidi="ar-SA"/>
              </w:rPr>
              <w:t>Customers qualifying for service under Schedules LP, LP-PS and LP-PP</w:t>
            </w:r>
          </w:p>
        </w:tc>
        <w:tc>
          <w:tcPr>
            <w:tcW w:w="1350" w:type="dxa"/>
          </w:tcPr>
          <w:p w14:paraId="67C8B403" w14:textId="77777777" w:rsidR="00215F79" w:rsidRDefault="00215F79" w:rsidP="00185655">
            <w:pPr>
              <w:jc w:val="right"/>
            </w:pPr>
            <w:r>
              <w:t>$140.00</w:t>
            </w:r>
          </w:p>
        </w:tc>
      </w:tr>
      <w:tr w:rsidR="00215F79" w14:paraId="173EF3C6" w14:textId="77777777" w:rsidTr="00215F79">
        <w:trPr>
          <w:trHeight w:val="90"/>
        </w:trPr>
        <w:tc>
          <w:tcPr>
            <w:tcW w:w="6552" w:type="dxa"/>
          </w:tcPr>
          <w:p w14:paraId="6183A111" w14:textId="77777777" w:rsidR="00215F79" w:rsidRDefault="00215F79" w:rsidP="00AE3AC8">
            <w:pPr>
              <w:rPr>
                <w:lang w:bidi="ar-SA"/>
              </w:rPr>
            </w:pPr>
          </w:p>
        </w:tc>
        <w:tc>
          <w:tcPr>
            <w:tcW w:w="1350" w:type="dxa"/>
          </w:tcPr>
          <w:p w14:paraId="11C6EB56" w14:textId="77777777" w:rsidR="00215F79" w:rsidRDefault="00215F79" w:rsidP="00215F79">
            <w:pPr>
              <w:jc w:val="right"/>
            </w:pPr>
          </w:p>
        </w:tc>
      </w:tr>
    </w:tbl>
    <w:p w14:paraId="4B47A2EC" w14:textId="740A4BF9" w:rsidR="002C6347" w:rsidRPr="00623C95" w:rsidRDefault="00DB2FEF" w:rsidP="00DB2FEF">
      <w:pPr>
        <w:pStyle w:val="Heading3"/>
      </w:pPr>
      <w:r w:rsidRPr="00623C95">
        <w:t>Distribution Demand Charge</w:t>
      </w:r>
    </w:p>
    <w:tbl>
      <w:tblPr>
        <w:tblW w:w="7920" w:type="dxa"/>
        <w:tblInd w:w="828" w:type="dxa"/>
        <w:tblLayout w:type="fixed"/>
        <w:tblLook w:val="0000" w:firstRow="0" w:lastRow="0" w:firstColumn="0" w:lastColumn="0" w:noHBand="0" w:noVBand="0"/>
      </w:tblPr>
      <w:tblGrid>
        <w:gridCol w:w="5400"/>
        <w:gridCol w:w="2520"/>
      </w:tblGrid>
      <w:tr w:rsidR="002C6347" w14:paraId="611B0332" w14:textId="77777777" w:rsidTr="00AE3AC8">
        <w:trPr>
          <w:trHeight w:val="342"/>
        </w:trPr>
        <w:tc>
          <w:tcPr>
            <w:tcW w:w="5400" w:type="dxa"/>
          </w:tcPr>
          <w:p w14:paraId="16421253" w14:textId="6F9D467A" w:rsidR="002C6347" w:rsidRPr="00623C95" w:rsidRDefault="002C6347" w:rsidP="007D4B5D">
            <w:r>
              <w:rPr>
                <w:kern w:val="0"/>
              </w:rPr>
              <w:t xml:space="preserve">Demand Charge per </w:t>
            </w:r>
            <w:r w:rsidR="00AE1902">
              <w:rPr>
                <w:kern w:val="0"/>
              </w:rPr>
              <w:t xml:space="preserve">kW </w:t>
            </w:r>
            <w:r>
              <w:rPr>
                <w:kern w:val="0"/>
              </w:rPr>
              <w:t>B</w:t>
            </w:r>
            <w:r w:rsidRPr="0049263D">
              <w:rPr>
                <w:kern w:val="0"/>
              </w:rPr>
              <w:t xml:space="preserve">illing </w:t>
            </w:r>
            <w:r>
              <w:rPr>
                <w:kern w:val="0"/>
              </w:rPr>
              <w:t>D</w:t>
            </w:r>
            <w:r w:rsidRPr="0049263D">
              <w:rPr>
                <w:kern w:val="0"/>
              </w:rPr>
              <w:t>emand</w:t>
            </w:r>
          </w:p>
        </w:tc>
        <w:tc>
          <w:tcPr>
            <w:tcW w:w="2520" w:type="dxa"/>
          </w:tcPr>
          <w:p w14:paraId="7FC5C4C7" w14:textId="7FA5BC24" w:rsidR="002C6347" w:rsidRDefault="002C6347" w:rsidP="007D4B5D">
            <w:r>
              <w:t>$</w:t>
            </w:r>
            <w:r w:rsidR="00983FE6">
              <w:t>6.2</w:t>
            </w:r>
            <w:r w:rsidR="0071214B">
              <w:t>5</w:t>
            </w:r>
            <w:r>
              <w:t xml:space="preserve"> per </w:t>
            </w:r>
            <w:r w:rsidR="00AE1902">
              <w:t>kW</w:t>
            </w:r>
          </w:p>
        </w:tc>
      </w:tr>
      <w:tr w:rsidR="002C7657" w14:paraId="31032F07" w14:textId="77777777" w:rsidTr="00AE3AC8">
        <w:trPr>
          <w:trHeight w:val="342"/>
        </w:trPr>
        <w:tc>
          <w:tcPr>
            <w:tcW w:w="5400" w:type="dxa"/>
          </w:tcPr>
          <w:p w14:paraId="3F8B5DFD" w14:textId="56774C3F" w:rsidR="002C7657" w:rsidRDefault="002C7657" w:rsidP="00AE3AC8">
            <w:pPr>
              <w:ind w:left="72"/>
              <w:rPr>
                <w:kern w:val="0"/>
              </w:rPr>
            </w:pPr>
            <w:r>
              <w:rPr>
                <w:kern w:val="0"/>
              </w:rPr>
              <w:t>Credit for Primary Metering – Secondary Service</w:t>
            </w:r>
          </w:p>
        </w:tc>
        <w:tc>
          <w:tcPr>
            <w:tcW w:w="2520" w:type="dxa"/>
          </w:tcPr>
          <w:p w14:paraId="60A18F4C" w14:textId="142F9AA8" w:rsidR="002C7657" w:rsidRDefault="002C7657" w:rsidP="007D4B5D">
            <w:r>
              <w:t xml:space="preserve">$0.15 per </w:t>
            </w:r>
            <w:r w:rsidR="00AE1902">
              <w:t>kW</w:t>
            </w:r>
          </w:p>
        </w:tc>
      </w:tr>
      <w:tr w:rsidR="002C7657" w14:paraId="45998F80" w14:textId="77777777" w:rsidTr="00AE3AC8">
        <w:trPr>
          <w:trHeight w:val="342"/>
        </w:trPr>
        <w:tc>
          <w:tcPr>
            <w:tcW w:w="5400" w:type="dxa"/>
          </w:tcPr>
          <w:p w14:paraId="3CC934C2" w14:textId="2560F185" w:rsidR="002C7657" w:rsidRDefault="002C7657" w:rsidP="00AE3AC8">
            <w:pPr>
              <w:ind w:left="72"/>
              <w:rPr>
                <w:kern w:val="0"/>
              </w:rPr>
            </w:pPr>
            <w:r>
              <w:rPr>
                <w:kern w:val="0"/>
              </w:rPr>
              <w:t>Credit for Primary Metering – Primary Service</w:t>
            </w:r>
          </w:p>
        </w:tc>
        <w:tc>
          <w:tcPr>
            <w:tcW w:w="2520" w:type="dxa"/>
          </w:tcPr>
          <w:p w14:paraId="0DF9DCD5" w14:textId="014CCFF7" w:rsidR="002C7657" w:rsidRDefault="002C7657" w:rsidP="007D4B5D">
            <w:r>
              <w:t xml:space="preserve">$0.35 per </w:t>
            </w:r>
            <w:r w:rsidR="00AE1902">
              <w:t>kW</w:t>
            </w:r>
          </w:p>
        </w:tc>
      </w:tr>
      <w:tr w:rsidR="002C6347" w14:paraId="049D350E" w14:textId="77777777" w:rsidTr="00AE3AC8">
        <w:trPr>
          <w:trHeight w:val="90"/>
        </w:trPr>
        <w:tc>
          <w:tcPr>
            <w:tcW w:w="5400" w:type="dxa"/>
          </w:tcPr>
          <w:p w14:paraId="64568D92" w14:textId="6D7FAE2B" w:rsidR="002C6347" w:rsidRDefault="002C6347" w:rsidP="00AE3AC8">
            <w:pPr>
              <w:rPr>
                <w:kern w:val="0"/>
              </w:rPr>
            </w:pPr>
          </w:p>
        </w:tc>
        <w:tc>
          <w:tcPr>
            <w:tcW w:w="2520" w:type="dxa"/>
          </w:tcPr>
          <w:p w14:paraId="67821645" w14:textId="77777777" w:rsidR="002C6347" w:rsidRDefault="002C6347" w:rsidP="00AE3AC8"/>
        </w:tc>
      </w:tr>
    </w:tbl>
    <w:p w14:paraId="1E09015A" w14:textId="77777777" w:rsidR="002C6347" w:rsidRDefault="002C6347" w:rsidP="00983FE6">
      <w:pPr>
        <w:pStyle w:val="Heading4"/>
      </w:pPr>
      <w:r>
        <w:t>Determination of Distribution Service Billing Demand:</w:t>
      </w:r>
    </w:p>
    <w:p w14:paraId="5A859410" w14:textId="7A59AA7F" w:rsidR="00983FE6" w:rsidRPr="00983FE6" w:rsidRDefault="00983FE6" w:rsidP="00185655">
      <w:pPr>
        <w:pStyle w:val="BodyTextIndent2"/>
        <w:rPr>
          <w:lang w:bidi="ar-SA"/>
        </w:rPr>
      </w:pPr>
      <w:r w:rsidRPr="00983FE6">
        <w:rPr>
          <w:lang w:bidi="ar-SA"/>
        </w:rPr>
        <w:t xml:space="preserve">The demand to be used for billing purposes shall be the maximum fifteen (15) minute </w:t>
      </w:r>
      <w:r w:rsidR="00BB2A1B">
        <w:rPr>
          <w:lang w:bidi="ar-SA"/>
        </w:rPr>
        <w:t xml:space="preserve">clock hour interval </w:t>
      </w:r>
      <w:r w:rsidRPr="00983FE6">
        <w:rPr>
          <w:lang w:bidi="ar-SA"/>
        </w:rPr>
        <w:t>demand occurring during the billing period as indicated by a meter installed</w:t>
      </w:r>
      <w:r>
        <w:rPr>
          <w:lang w:bidi="ar-SA"/>
        </w:rPr>
        <w:t xml:space="preserve"> </w:t>
      </w:r>
      <w:r w:rsidRPr="00983FE6">
        <w:rPr>
          <w:lang w:bidi="ar-SA"/>
        </w:rPr>
        <w:t>to measure demand. The measured demand may also be adjusted for power factor as provided for in</w:t>
      </w:r>
      <w:r>
        <w:rPr>
          <w:lang w:bidi="ar-SA"/>
        </w:rPr>
        <w:t xml:space="preserve"> </w:t>
      </w:r>
      <w:r w:rsidRPr="00983FE6">
        <w:rPr>
          <w:lang w:bidi="ar-SA"/>
        </w:rPr>
        <w:t>the next paragraph.</w:t>
      </w:r>
    </w:p>
    <w:p w14:paraId="518E16C2" w14:textId="1D8F3FA1" w:rsidR="00983FE6" w:rsidRDefault="00983FE6" w:rsidP="00185655">
      <w:pPr>
        <w:pStyle w:val="BodyTextIndent2"/>
        <w:rPr>
          <w:lang w:bidi="ar-SA"/>
        </w:rPr>
      </w:pPr>
      <w:r w:rsidRPr="00983FE6">
        <w:rPr>
          <w:lang w:bidi="ar-SA"/>
        </w:rPr>
        <w:t xml:space="preserve">At its option, </w:t>
      </w:r>
      <w:r w:rsidR="0039578D">
        <w:rPr>
          <w:lang w:bidi="ar-SA"/>
        </w:rPr>
        <w:t xml:space="preserve">Noble </w:t>
      </w:r>
      <w:r w:rsidR="0039578D" w:rsidRPr="00983FE6">
        <w:rPr>
          <w:lang w:bidi="ar-SA"/>
        </w:rPr>
        <w:t>may</w:t>
      </w:r>
      <w:r w:rsidRPr="00983FE6">
        <w:rPr>
          <w:lang w:bidi="ar-SA"/>
        </w:rPr>
        <w:t xml:space="preserve"> install metering equipment to allow the determination of reactive</w:t>
      </w:r>
      <w:r>
        <w:rPr>
          <w:lang w:bidi="ar-SA"/>
        </w:rPr>
        <w:t xml:space="preserve"> </w:t>
      </w:r>
      <w:r w:rsidRPr="00983FE6">
        <w:rPr>
          <w:lang w:bidi="ar-SA"/>
        </w:rPr>
        <w:t>components of power utilized by the customer. The customer’s utilization of equipment shall not</w:t>
      </w:r>
      <w:r>
        <w:rPr>
          <w:lang w:bidi="ar-SA"/>
        </w:rPr>
        <w:t xml:space="preserve"> </w:t>
      </w:r>
      <w:r w:rsidRPr="00983FE6">
        <w:rPr>
          <w:lang w:bidi="ar-SA"/>
        </w:rPr>
        <w:t>result in an average power factor at the point of delivery of less than 90% lagging for the month.</w:t>
      </w:r>
      <w:r>
        <w:rPr>
          <w:lang w:bidi="ar-SA"/>
        </w:rPr>
        <w:t xml:space="preserve"> </w:t>
      </w:r>
      <w:r w:rsidRPr="00983FE6">
        <w:rPr>
          <w:lang w:bidi="ar-SA"/>
        </w:rPr>
        <w:t xml:space="preserve">Should the average power factor be less than 90% lagging during any month, </w:t>
      </w:r>
      <w:r w:rsidR="0039578D">
        <w:rPr>
          <w:lang w:bidi="ar-SA"/>
        </w:rPr>
        <w:t xml:space="preserve">Noble </w:t>
      </w:r>
      <w:r w:rsidR="0039578D" w:rsidRPr="00983FE6">
        <w:rPr>
          <w:lang w:bidi="ar-SA"/>
        </w:rPr>
        <w:t>may</w:t>
      </w:r>
      <w:r w:rsidRPr="00983FE6">
        <w:rPr>
          <w:lang w:bidi="ar-SA"/>
        </w:rPr>
        <w:t xml:space="preserve"> adjust</w:t>
      </w:r>
      <w:r>
        <w:rPr>
          <w:lang w:bidi="ar-SA"/>
        </w:rPr>
        <w:t xml:space="preserve"> </w:t>
      </w:r>
      <w:r w:rsidRPr="00983FE6">
        <w:rPr>
          <w:lang w:bidi="ar-SA"/>
        </w:rPr>
        <w:t>the readings taken to determine the demand by multiplying the KW obtained through such readings</w:t>
      </w:r>
      <w:r>
        <w:rPr>
          <w:lang w:bidi="ar-SA"/>
        </w:rPr>
        <w:t xml:space="preserve"> </w:t>
      </w:r>
      <w:r w:rsidRPr="00983FE6">
        <w:rPr>
          <w:lang w:bidi="ar-SA"/>
        </w:rPr>
        <w:t>by 90% and by dividing the result by the actual average power factor established during the current</w:t>
      </w:r>
      <w:r>
        <w:rPr>
          <w:lang w:bidi="ar-SA"/>
        </w:rPr>
        <w:t xml:space="preserve"> </w:t>
      </w:r>
      <w:r w:rsidRPr="00983FE6">
        <w:rPr>
          <w:lang w:bidi="ar-SA"/>
        </w:rPr>
        <w:t>month. Such adjusted readings shall be used in determining the billing demand.</w:t>
      </w:r>
      <w:r>
        <w:rPr>
          <w:lang w:bidi="ar-SA"/>
        </w:rPr>
        <w:t xml:space="preserve"> </w:t>
      </w:r>
    </w:p>
    <w:p w14:paraId="530BEE5C" w14:textId="68C89D6A" w:rsidR="00983FE6" w:rsidRDefault="0039578D" w:rsidP="00185655">
      <w:pPr>
        <w:pStyle w:val="BodyTextIndent2"/>
        <w:rPr>
          <w:lang w:bidi="ar-SA"/>
        </w:rPr>
      </w:pPr>
      <w:r>
        <w:rPr>
          <w:lang w:bidi="ar-SA"/>
        </w:rPr>
        <w:t xml:space="preserve">Noble </w:t>
      </w:r>
      <w:r w:rsidRPr="00983FE6">
        <w:rPr>
          <w:lang w:bidi="ar-SA"/>
        </w:rPr>
        <w:t>reserves</w:t>
      </w:r>
      <w:r w:rsidR="00983FE6" w:rsidRPr="00983FE6">
        <w:rPr>
          <w:lang w:bidi="ar-SA"/>
        </w:rPr>
        <w:t xml:space="preserve"> the right, at its option, to utilize kVA meters, </w:t>
      </w:r>
      <w:proofErr w:type="spellStart"/>
      <w:r w:rsidR="00983FE6" w:rsidRPr="00983FE6">
        <w:rPr>
          <w:lang w:bidi="ar-SA"/>
        </w:rPr>
        <w:t>RkVA</w:t>
      </w:r>
      <w:proofErr w:type="spellEnd"/>
      <w:r w:rsidR="00983FE6" w:rsidRPr="00983FE6">
        <w:rPr>
          <w:lang w:bidi="ar-SA"/>
        </w:rPr>
        <w:t xml:space="preserve"> meters, and/or other</w:t>
      </w:r>
      <w:r w:rsidR="00983FE6">
        <w:rPr>
          <w:lang w:bidi="ar-SA"/>
        </w:rPr>
        <w:t xml:space="preserve"> </w:t>
      </w:r>
      <w:r w:rsidR="00983FE6" w:rsidRPr="00983FE6">
        <w:rPr>
          <w:lang w:bidi="ar-SA"/>
        </w:rPr>
        <w:t>appropriate meters in those metering installations where the customer’s power factor is believed to</w:t>
      </w:r>
      <w:r w:rsidR="00983FE6">
        <w:rPr>
          <w:lang w:bidi="ar-SA"/>
        </w:rPr>
        <w:t xml:space="preserve"> </w:t>
      </w:r>
      <w:r w:rsidR="00983FE6" w:rsidRPr="00983FE6">
        <w:rPr>
          <w:lang w:bidi="ar-SA"/>
        </w:rPr>
        <w:t xml:space="preserve">be unsatisfactory according to the </w:t>
      </w:r>
      <w:r w:rsidR="00AC2CFE">
        <w:rPr>
          <w:lang w:bidi="ar-SA"/>
        </w:rPr>
        <w:t>Noble</w:t>
      </w:r>
      <w:r w:rsidR="00983FE6" w:rsidRPr="00983FE6">
        <w:rPr>
          <w:lang w:bidi="ar-SA"/>
        </w:rPr>
        <w:t>’s standards. If such meters are installed, the billing demand</w:t>
      </w:r>
      <w:r w:rsidR="00983FE6">
        <w:rPr>
          <w:lang w:bidi="ar-SA"/>
        </w:rPr>
        <w:t xml:space="preserve"> </w:t>
      </w:r>
      <w:r w:rsidR="00983FE6" w:rsidRPr="00983FE6">
        <w:rPr>
          <w:lang w:bidi="ar-SA"/>
        </w:rPr>
        <w:t>in KW may be computed from such instruments.</w:t>
      </w:r>
    </w:p>
    <w:p w14:paraId="50676729" w14:textId="1B0C2E81" w:rsidR="00AC2CFE" w:rsidRPr="002C7657" w:rsidRDefault="00067DA7" w:rsidP="002C7657">
      <w:pPr>
        <w:pStyle w:val="BodyTextIndent2"/>
        <w:rPr>
          <w:lang w:bidi="ar-SA"/>
        </w:rPr>
      </w:pPr>
      <w:r>
        <w:rPr>
          <w:lang w:bidi="ar-SA"/>
        </w:rPr>
        <w:t xml:space="preserve">The Distribution Service Billing Demand shall not be less than zero. </w:t>
      </w:r>
    </w:p>
    <w:p w14:paraId="0BC4301E" w14:textId="5AC57C8F" w:rsidR="002C6347" w:rsidRPr="00983FE6" w:rsidRDefault="00983FE6" w:rsidP="00983FE6">
      <w:pPr>
        <w:pStyle w:val="Heading2"/>
      </w:pPr>
      <w:r w:rsidRPr="009831D2">
        <w:t xml:space="preserve"> </w:t>
      </w:r>
      <w:r w:rsidR="002C6347" w:rsidRPr="00710252">
        <w:rPr>
          <w:szCs w:val="24"/>
        </w:rPr>
        <w:t xml:space="preserve">Power Supply </w:t>
      </w:r>
      <w:proofErr w:type="gramStart"/>
      <w:r w:rsidR="00DB2FEF" w:rsidRPr="00710252">
        <w:rPr>
          <w:szCs w:val="24"/>
        </w:rPr>
        <w:t>SERVICE</w:t>
      </w:r>
      <w:r w:rsidR="00DB2FEF" w:rsidRPr="00983FE6">
        <w:t xml:space="preserve"> </w:t>
      </w:r>
      <w:r w:rsidR="00710252">
        <w:t xml:space="preserve"> *</w:t>
      </w:r>
      <w:proofErr w:type="gramEnd"/>
      <w:r w:rsidR="00265B78">
        <w:t xml:space="preserve"> see power supply rates (page 8 of 8)</w:t>
      </w:r>
      <w:r w:rsidR="00710252">
        <w:t>*</w:t>
      </w:r>
    </w:p>
    <w:p w14:paraId="0076A992" w14:textId="04085009" w:rsidR="002C6347" w:rsidRPr="0067094C" w:rsidRDefault="00DB2FEF" w:rsidP="00DB2FEF">
      <w:pPr>
        <w:pStyle w:val="Heading3"/>
      </w:pPr>
      <w:r>
        <w:t>Applicable</w:t>
      </w:r>
      <w:r w:rsidRPr="0067094C">
        <w:t xml:space="preserve"> Rates</w:t>
      </w:r>
    </w:p>
    <w:p w14:paraId="63540221" w14:textId="77777777" w:rsidR="002C6347" w:rsidRPr="0077764E" w:rsidRDefault="002C6347" w:rsidP="002C6347">
      <w:pPr>
        <w:pStyle w:val="BodyTextIndent2"/>
      </w:pPr>
      <w:r>
        <w:t xml:space="preserve">The Wholesale Demand and Energy Charges as used herein are per the service schedule applicable to power purchased for delivery to the member as set out in the Wabash Valley Power Association, Inc. FERC Electric Tariff, Original Volume No. 1, approved by the Federal Energy Regulatory Commission (wholesale rate). </w:t>
      </w:r>
    </w:p>
    <w:p w14:paraId="28E29FC1" w14:textId="02749F22" w:rsidR="002C6347" w:rsidRPr="0067094C" w:rsidRDefault="00DB2FEF" w:rsidP="00DB2FEF">
      <w:pPr>
        <w:pStyle w:val="Heading3"/>
      </w:pPr>
      <w:r>
        <w:t>Line Loss Adjustment</w:t>
      </w:r>
    </w:p>
    <w:p w14:paraId="19178668" w14:textId="139E8952" w:rsidR="002C6347" w:rsidRDefault="002C6347" w:rsidP="002C6347">
      <w:pPr>
        <w:pStyle w:val="BodyTextIndent2"/>
      </w:pPr>
      <w:r>
        <w:t xml:space="preserve">Line losses as used herein shall be equal to the </w:t>
      </w:r>
      <w:r w:rsidR="00AC2CFE">
        <w:t>Noble</w:t>
      </w:r>
      <w:r>
        <w:t>’s average system line losses for the previous calendar year.</w:t>
      </w:r>
    </w:p>
    <w:p w14:paraId="368C0EB6" w14:textId="3B0A0017" w:rsidR="002C6347" w:rsidRDefault="00DB2FEF" w:rsidP="00DB2FEF">
      <w:pPr>
        <w:pStyle w:val="Heading3"/>
      </w:pPr>
      <w:r>
        <w:t>Tax Adjustment</w:t>
      </w:r>
    </w:p>
    <w:p w14:paraId="361D282C" w14:textId="77777777" w:rsidR="002C6347" w:rsidRPr="00516742" w:rsidRDefault="002C6347" w:rsidP="002C6347">
      <w:pPr>
        <w:pStyle w:val="BodyTextIndent2"/>
        <w:rPr>
          <w:lang w:bidi="ar-SA"/>
        </w:rPr>
      </w:pPr>
      <w:r>
        <w:rPr>
          <w:lang w:bidi="ar-SA"/>
        </w:rPr>
        <w:t xml:space="preserve">The total charges for power supply service shall include an adjustment for the Indiana Utility Receipts Tax (IURT) rate and any other revenue-based taxes effective during the month service is rendered. </w:t>
      </w:r>
    </w:p>
    <w:p w14:paraId="179AE179" w14:textId="166A1FA0" w:rsidR="002C6347" w:rsidRDefault="00DB2FEF" w:rsidP="00DB2FEF">
      <w:pPr>
        <w:pStyle w:val="Heading3"/>
      </w:pPr>
      <w:r w:rsidRPr="0067094C">
        <w:t>Power Supply Demand Charge</w:t>
      </w:r>
    </w:p>
    <w:p w14:paraId="2BC8AF5B" w14:textId="77777777" w:rsidR="002C6347" w:rsidRDefault="002C6347" w:rsidP="002C6347">
      <w:pPr>
        <w:pStyle w:val="BodyTextIndent2"/>
      </w:pPr>
      <w:r>
        <w:t>Demand Charge per billing kW of Power Supply Billing Demand shall be:</w:t>
      </w:r>
    </w:p>
    <w:tbl>
      <w:tblPr>
        <w:tblW w:w="8100" w:type="dxa"/>
        <w:tblInd w:w="738" w:type="dxa"/>
        <w:tblLayout w:type="fixed"/>
        <w:tblLook w:val="0000" w:firstRow="0" w:lastRow="0" w:firstColumn="0" w:lastColumn="0" w:noHBand="0" w:noVBand="0"/>
      </w:tblPr>
      <w:tblGrid>
        <w:gridCol w:w="8100"/>
      </w:tblGrid>
      <w:tr w:rsidR="002C6347" w14:paraId="7C6822D2" w14:textId="77777777" w:rsidTr="00AE3AC8">
        <w:trPr>
          <w:trHeight w:val="450"/>
        </w:trPr>
        <w:tc>
          <w:tcPr>
            <w:tcW w:w="8100" w:type="dxa"/>
            <w:tcBorders>
              <w:top w:val="nil"/>
              <w:left w:val="nil"/>
              <w:right w:val="nil"/>
            </w:tcBorders>
            <w:vAlign w:val="bottom"/>
          </w:tcPr>
          <w:p w14:paraId="4CFC0C13" w14:textId="77777777" w:rsidR="002C6347" w:rsidRDefault="002C6347" w:rsidP="00AE3AC8">
            <w:pPr>
              <w:jc w:val="center"/>
              <w:rPr>
                <w:sz w:val="18"/>
                <w:szCs w:val="18"/>
                <w:u w:val="single"/>
              </w:rPr>
            </w:pPr>
            <w:r>
              <w:rPr>
                <w:sz w:val="18"/>
                <w:szCs w:val="18"/>
                <w:u w:val="single"/>
              </w:rPr>
              <w:t>The Wholesale CP Demand Charge billed for power delivered to the member during billing month</w:t>
            </w:r>
          </w:p>
        </w:tc>
      </w:tr>
      <w:tr w:rsidR="002C6347" w14:paraId="7DE340E6" w14:textId="77777777" w:rsidTr="00AE3AC8">
        <w:trPr>
          <w:trHeight w:val="477"/>
        </w:trPr>
        <w:tc>
          <w:tcPr>
            <w:tcW w:w="8100" w:type="dxa"/>
            <w:tcBorders>
              <w:left w:val="nil"/>
              <w:right w:val="nil"/>
            </w:tcBorders>
          </w:tcPr>
          <w:p w14:paraId="420CBE09" w14:textId="77777777" w:rsidR="002C6347" w:rsidRDefault="002C6347" w:rsidP="00AE3AC8">
            <w:pPr>
              <w:jc w:val="center"/>
              <w:rPr>
                <w:sz w:val="18"/>
                <w:szCs w:val="18"/>
              </w:rPr>
            </w:pPr>
            <w:r>
              <w:rPr>
                <w:sz w:val="18"/>
                <w:szCs w:val="18"/>
              </w:rPr>
              <w:t>(100% – line loss % – tax % rate)</w:t>
            </w:r>
          </w:p>
        </w:tc>
      </w:tr>
    </w:tbl>
    <w:p w14:paraId="123DAB66" w14:textId="77777777" w:rsidR="002C6347" w:rsidRDefault="00185655" w:rsidP="00983FE6">
      <w:pPr>
        <w:pStyle w:val="Heading4"/>
      </w:pPr>
      <w:r>
        <w:t xml:space="preserve">Determination of </w:t>
      </w:r>
      <w:r w:rsidR="002C6347">
        <w:t xml:space="preserve">Power Supply </w:t>
      </w:r>
      <w:r>
        <w:t xml:space="preserve">Service </w:t>
      </w:r>
      <w:r w:rsidR="002C6347">
        <w:t>Demand</w:t>
      </w:r>
    </w:p>
    <w:p w14:paraId="62E514A3" w14:textId="73D22574" w:rsidR="002C6347" w:rsidRDefault="002C6347" w:rsidP="002C6347">
      <w:pPr>
        <w:pStyle w:val="BodyTextIndent2"/>
      </w:pPr>
      <w:r>
        <w:t xml:space="preserve">The Power Supply Demand shall be the metered coincident </w:t>
      </w:r>
      <w:r w:rsidRPr="00F76EA1">
        <w:t>kilowatt</w:t>
      </w:r>
      <w:r>
        <w:t xml:space="preserve"> (kW) demand</w:t>
      </w:r>
      <w:r w:rsidR="0058525A">
        <w:t>.</w:t>
      </w:r>
      <w:r>
        <w:t xml:space="preserve"> </w:t>
      </w:r>
      <w:r w:rsidR="0058525A">
        <w:t>This equates to</w:t>
      </w:r>
      <w:r>
        <w:t xml:space="preserve"> the number of kW used in the clock hour interval between the hours of 2:00 p.m. and 8:00 p.m. Monday through Friday, Indianapolis, IN prevailing time (Billing Window), during which the total kW load for </w:t>
      </w:r>
      <w:r w:rsidR="00AC2CFE">
        <w:t>Noble</w:t>
      </w:r>
      <w:r>
        <w:t>’s power supplier is greater than any other clock hour interval in the Billing Window in such billing month, adjusted for power factor.</w:t>
      </w:r>
    </w:p>
    <w:p w14:paraId="09558DFB" w14:textId="77777777" w:rsidR="002C6347" w:rsidRDefault="002C6347" w:rsidP="002C6347">
      <w:pPr>
        <w:pStyle w:val="BodyTextIndent2"/>
      </w:pPr>
      <w:r>
        <w:t xml:space="preserve">The Peak Power Factor for the billing month shall be calculated from the </w:t>
      </w:r>
      <w:proofErr w:type="gramStart"/>
      <w:r>
        <w:t>kilowatts</w:t>
      </w:r>
      <w:proofErr w:type="gramEnd"/>
      <w:r>
        <w:t xml:space="preserve"> “A” and reactive kilovolt-amperes “B”, both of which are used during the clock hour interval in which the Power Supply Demand occurs, by the following formula:</w:t>
      </w:r>
    </w:p>
    <w:tbl>
      <w:tblPr>
        <w:tblW w:w="0" w:type="auto"/>
        <w:tblInd w:w="828" w:type="dxa"/>
        <w:tblLook w:val="0000" w:firstRow="0" w:lastRow="0" w:firstColumn="0" w:lastColumn="0" w:noHBand="0" w:noVBand="0"/>
      </w:tblPr>
      <w:tblGrid>
        <w:gridCol w:w="3690"/>
        <w:gridCol w:w="3870"/>
      </w:tblGrid>
      <w:tr w:rsidR="002C6347" w14:paraId="1EA61AC9" w14:textId="77777777" w:rsidTr="00AE3AC8">
        <w:trPr>
          <w:cantSplit/>
        </w:trPr>
        <w:tc>
          <w:tcPr>
            <w:tcW w:w="3690" w:type="dxa"/>
            <w:vMerge w:val="restart"/>
            <w:vAlign w:val="center"/>
          </w:tcPr>
          <w:p w14:paraId="323484B7" w14:textId="77777777" w:rsidR="002C6347" w:rsidRDefault="002C6347" w:rsidP="00AE3AC8">
            <w:pPr>
              <w:ind w:left="72"/>
              <w:jc w:val="left"/>
            </w:pPr>
            <w:r>
              <w:t xml:space="preserve">Power Factor     = </w:t>
            </w:r>
          </w:p>
        </w:tc>
        <w:tc>
          <w:tcPr>
            <w:tcW w:w="3870" w:type="dxa"/>
            <w:tcBorders>
              <w:bottom w:val="single" w:sz="4" w:space="0" w:color="auto"/>
            </w:tcBorders>
            <w:vAlign w:val="center"/>
          </w:tcPr>
          <w:p w14:paraId="23D4329B" w14:textId="77777777" w:rsidR="002C6347" w:rsidRDefault="002C6347" w:rsidP="00AE3AC8">
            <w:pPr>
              <w:jc w:val="center"/>
            </w:pPr>
            <w:r>
              <w:t>“A”</w:t>
            </w:r>
          </w:p>
        </w:tc>
      </w:tr>
      <w:tr w:rsidR="002C6347" w14:paraId="3C9842A3" w14:textId="77777777" w:rsidTr="00AE3AC8">
        <w:trPr>
          <w:cantSplit/>
        </w:trPr>
        <w:tc>
          <w:tcPr>
            <w:tcW w:w="3690" w:type="dxa"/>
            <w:vMerge/>
          </w:tcPr>
          <w:p w14:paraId="655E4684" w14:textId="77777777" w:rsidR="002C6347" w:rsidRDefault="002C6347" w:rsidP="00AE3AC8"/>
        </w:tc>
        <w:tc>
          <w:tcPr>
            <w:tcW w:w="3870" w:type="dxa"/>
            <w:tcBorders>
              <w:top w:val="single" w:sz="4" w:space="0" w:color="auto"/>
            </w:tcBorders>
            <w:vAlign w:val="center"/>
          </w:tcPr>
          <w:p w14:paraId="6CC42A50" w14:textId="77777777" w:rsidR="002C6347" w:rsidRDefault="002C6347" w:rsidP="00AE3AC8">
            <w:pPr>
              <w:jc w:val="center"/>
            </w:pPr>
            <w:r>
              <w:t>Square Root of (A</w:t>
            </w:r>
            <w:r>
              <w:rPr>
                <w:sz w:val="16"/>
                <w:vertAlign w:val="superscript"/>
              </w:rPr>
              <w:t>2</w:t>
            </w:r>
            <w:r>
              <w:t xml:space="preserve"> + B</w:t>
            </w:r>
            <w:r>
              <w:rPr>
                <w:sz w:val="16"/>
                <w:vertAlign w:val="superscript"/>
              </w:rPr>
              <w:t>2</w:t>
            </w:r>
            <w:r>
              <w:t>)</w:t>
            </w:r>
          </w:p>
        </w:tc>
      </w:tr>
      <w:tr w:rsidR="002C6347" w14:paraId="6009B10D" w14:textId="77777777" w:rsidTr="00AE3AC8">
        <w:trPr>
          <w:cantSplit/>
        </w:trPr>
        <w:tc>
          <w:tcPr>
            <w:tcW w:w="3690" w:type="dxa"/>
          </w:tcPr>
          <w:p w14:paraId="38413F8E" w14:textId="77777777" w:rsidR="002C6347" w:rsidRDefault="002C6347" w:rsidP="00AE3AC8"/>
        </w:tc>
        <w:tc>
          <w:tcPr>
            <w:tcW w:w="3870" w:type="dxa"/>
            <w:vAlign w:val="center"/>
          </w:tcPr>
          <w:p w14:paraId="3A300A58" w14:textId="77777777" w:rsidR="002C6347" w:rsidRDefault="002C6347" w:rsidP="00AE3AC8">
            <w:pPr>
              <w:jc w:val="center"/>
            </w:pPr>
          </w:p>
        </w:tc>
      </w:tr>
    </w:tbl>
    <w:p w14:paraId="6EDA2CD1" w14:textId="77777777" w:rsidR="002C6347" w:rsidRDefault="002C6347" w:rsidP="002C6347">
      <w:pPr>
        <w:pStyle w:val="BodyTextIndent2"/>
      </w:pPr>
      <w:r>
        <w:t>If the peak Power Factor of less than 9</w:t>
      </w:r>
      <w:r w:rsidRPr="00911191">
        <w:t>0</w:t>
      </w:r>
      <w:r>
        <w:t>% lagging, the Power Supply Demand for the member shall be adjusted in accordance with the following formula:</w:t>
      </w:r>
    </w:p>
    <w:tbl>
      <w:tblPr>
        <w:tblW w:w="0" w:type="auto"/>
        <w:tblInd w:w="828" w:type="dxa"/>
        <w:tblLook w:val="0000" w:firstRow="0" w:lastRow="0" w:firstColumn="0" w:lastColumn="0" w:noHBand="0" w:noVBand="0"/>
      </w:tblPr>
      <w:tblGrid>
        <w:gridCol w:w="3690"/>
        <w:gridCol w:w="3870"/>
      </w:tblGrid>
      <w:tr w:rsidR="002C6347" w14:paraId="05B79F66" w14:textId="77777777" w:rsidTr="00AE3AC8">
        <w:trPr>
          <w:cantSplit/>
          <w:trHeight w:val="360"/>
        </w:trPr>
        <w:tc>
          <w:tcPr>
            <w:tcW w:w="3690" w:type="dxa"/>
            <w:vMerge w:val="restart"/>
            <w:vAlign w:val="center"/>
          </w:tcPr>
          <w:p w14:paraId="42F639BF" w14:textId="77777777" w:rsidR="002C6347" w:rsidRDefault="002C6347" w:rsidP="00AE3AC8">
            <w:pPr>
              <w:ind w:left="72"/>
            </w:pPr>
            <w:r>
              <w:t>Power Supply Billing Demand     =</w:t>
            </w:r>
          </w:p>
        </w:tc>
        <w:tc>
          <w:tcPr>
            <w:tcW w:w="3870" w:type="dxa"/>
            <w:tcBorders>
              <w:bottom w:val="single" w:sz="4" w:space="0" w:color="auto"/>
            </w:tcBorders>
            <w:vAlign w:val="center"/>
          </w:tcPr>
          <w:p w14:paraId="7B123CE9" w14:textId="77777777" w:rsidR="002C6347" w:rsidRDefault="002C6347" w:rsidP="00AE3AC8">
            <w:pPr>
              <w:pStyle w:val="BodyText"/>
              <w:jc w:val="center"/>
            </w:pPr>
            <w:r>
              <w:t>Power Supply Demand kW x .9</w:t>
            </w:r>
            <w:r w:rsidRPr="00911191">
              <w:t>0</w:t>
            </w:r>
          </w:p>
        </w:tc>
      </w:tr>
      <w:tr w:rsidR="002C6347" w14:paraId="2EB71A4E" w14:textId="77777777" w:rsidTr="00AE3AC8">
        <w:trPr>
          <w:cantSplit/>
          <w:trHeight w:val="305"/>
        </w:trPr>
        <w:tc>
          <w:tcPr>
            <w:tcW w:w="3690" w:type="dxa"/>
            <w:vMerge/>
          </w:tcPr>
          <w:p w14:paraId="706ABD21" w14:textId="77777777" w:rsidR="002C6347" w:rsidRDefault="002C6347" w:rsidP="00AE3AC8"/>
        </w:tc>
        <w:tc>
          <w:tcPr>
            <w:tcW w:w="3870" w:type="dxa"/>
            <w:tcBorders>
              <w:top w:val="single" w:sz="4" w:space="0" w:color="auto"/>
            </w:tcBorders>
            <w:vAlign w:val="center"/>
          </w:tcPr>
          <w:p w14:paraId="49E69A37" w14:textId="77777777" w:rsidR="002C6347" w:rsidRDefault="002C6347" w:rsidP="00AE3AC8">
            <w:pPr>
              <w:jc w:val="center"/>
            </w:pPr>
            <w:r>
              <w:t>Peak Power Factor</w:t>
            </w:r>
          </w:p>
        </w:tc>
      </w:tr>
      <w:tr w:rsidR="002C6347" w14:paraId="05176950" w14:textId="77777777" w:rsidTr="00AE3AC8">
        <w:trPr>
          <w:cantSplit/>
        </w:trPr>
        <w:tc>
          <w:tcPr>
            <w:tcW w:w="3690" w:type="dxa"/>
          </w:tcPr>
          <w:p w14:paraId="4178F282" w14:textId="77777777" w:rsidR="002C6347" w:rsidRDefault="002C6347" w:rsidP="00AE3AC8"/>
        </w:tc>
        <w:tc>
          <w:tcPr>
            <w:tcW w:w="3870" w:type="dxa"/>
            <w:vAlign w:val="center"/>
          </w:tcPr>
          <w:p w14:paraId="57FC4CB4" w14:textId="77777777" w:rsidR="002C6347" w:rsidRDefault="002C6347" w:rsidP="00AE3AC8">
            <w:pPr>
              <w:jc w:val="center"/>
            </w:pPr>
          </w:p>
        </w:tc>
      </w:tr>
    </w:tbl>
    <w:p w14:paraId="6E2FE652" w14:textId="77777777" w:rsidR="002C6347" w:rsidRDefault="002C6347" w:rsidP="002C6347">
      <w:pPr>
        <w:pStyle w:val="BodyTextIndent2"/>
      </w:pPr>
      <w:r>
        <w:t>If the peak monthly Power Factor is equal to or in excess of 9</w:t>
      </w:r>
      <w:r w:rsidRPr="00911191">
        <w:t>0</w:t>
      </w:r>
      <w:r>
        <w:t>% lagging, then:</w:t>
      </w:r>
    </w:p>
    <w:tbl>
      <w:tblPr>
        <w:tblW w:w="0" w:type="auto"/>
        <w:tblInd w:w="828" w:type="dxa"/>
        <w:tblLook w:val="0000" w:firstRow="0" w:lastRow="0" w:firstColumn="0" w:lastColumn="0" w:noHBand="0" w:noVBand="0"/>
      </w:tblPr>
      <w:tblGrid>
        <w:gridCol w:w="3690"/>
        <w:gridCol w:w="3870"/>
      </w:tblGrid>
      <w:tr w:rsidR="002C6347" w14:paraId="377A2475" w14:textId="77777777" w:rsidTr="00AE3AC8">
        <w:trPr>
          <w:cantSplit/>
          <w:trHeight w:val="423"/>
        </w:trPr>
        <w:tc>
          <w:tcPr>
            <w:tcW w:w="3690" w:type="dxa"/>
          </w:tcPr>
          <w:p w14:paraId="3EA3C3D6" w14:textId="77777777" w:rsidR="002C6347" w:rsidRDefault="002C6347" w:rsidP="00AE3AC8">
            <w:pPr>
              <w:ind w:left="72"/>
              <w:jc w:val="center"/>
            </w:pPr>
            <w:r>
              <w:t>Power Supply Billing Demand     =</w:t>
            </w:r>
          </w:p>
        </w:tc>
        <w:tc>
          <w:tcPr>
            <w:tcW w:w="3870" w:type="dxa"/>
          </w:tcPr>
          <w:p w14:paraId="2B9CBFE3" w14:textId="77777777" w:rsidR="002C6347" w:rsidRDefault="002C6347" w:rsidP="00AE3AC8">
            <w:pPr>
              <w:jc w:val="center"/>
            </w:pPr>
            <w:r>
              <w:t>Power Supply Demand</w:t>
            </w:r>
          </w:p>
        </w:tc>
      </w:tr>
    </w:tbl>
    <w:p w14:paraId="273E0A3D" w14:textId="46AB2AA2" w:rsidR="00067DA7" w:rsidRPr="00067DA7" w:rsidRDefault="00067DA7" w:rsidP="00E22A9F">
      <w:pPr>
        <w:pStyle w:val="BodyTextIndent2"/>
        <w:ind w:left="0"/>
      </w:pPr>
      <w:r>
        <w:t>The Power Supply Billing Demand shall not be less than zero.</w:t>
      </w:r>
    </w:p>
    <w:p w14:paraId="53E4859E" w14:textId="3C36EE22" w:rsidR="00067DA7" w:rsidRPr="00067DA7" w:rsidRDefault="00DB2FEF" w:rsidP="00067DA7">
      <w:pPr>
        <w:pStyle w:val="Heading3"/>
      </w:pPr>
      <w:r w:rsidRPr="0067094C">
        <w:t>Power Supply Energy Charge</w:t>
      </w:r>
    </w:p>
    <w:tbl>
      <w:tblPr>
        <w:tblW w:w="8640" w:type="dxa"/>
        <w:tblInd w:w="108" w:type="dxa"/>
        <w:tblLayout w:type="fixed"/>
        <w:tblLook w:val="0000" w:firstRow="0" w:lastRow="0" w:firstColumn="0" w:lastColumn="0" w:noHBand="0" w:noVBand="0"/>
      </w:tblPr>
      <w:tblGrid>
        <w:gridCol w:w="8640"/>
      </w:tblGrid>
      <w:tr w:rsidR="002C6347" w14:paraId="741AD40E" w14:textId="77777777" w:rsidTr="00AE3AC8">
        <w:tc>
          <w:tcPr>
            <w:tcW w:w="8640" w:type="dxa"/>
            <w:tcBorders>
              <w:top w:val="nil"/>
              <w:left w:val="nil"/>
              <w:bottom w:val="nil"/>
              <w:right w:val="nil"/>
            </w:tcBorders>
          </w:tcPr>
          <w:p w14:paraId="0E552937" w14:textId="38549D08" w:rsidR="002C6347" w:rsidRDefault="002C6347" w:rsidP="00AE3AC8">
            <w:pPr>
              <w:pStyle w:val="BodyTextIndent2"/>
            </w:pPr>
            <w:r>
              <w:t xml:space="preserve">Energy Charge per kWh </w:t>
            </w:r>
            <w:r w:rsidR="00067DA7">
              <w:t xml:space="preserve">delivered to the member </w:t>
            </w:r>
            <w:r>
              <w:t xml:space="preserve">for the On Peak and </w:t>
            </w:r>
            <w:proofErr w:type="gramStart"/>
            <w:r>
              <w:t>Off Peak</w:t>
            </w:r>
            <w:proofErr w:type="gramEnd"/>
            <w:r>
              <w:t xml:space="preserve"> periods shall be calculated as follows:</w:t>
            </w:r>
          </w:p>
        </w:tc>
      </w:tr>
      <w:tr w:rsidR="002C6347" w14:paraId="50B91363" w14:textId="77777777" w:rsidTr="00AE3AC8">
        <w:trPr>
          <w:trHeight w:val="405"/>
        </w:trPr>
        <w:tc>
          <w:tcPr>
            <w:tcW w:w="8640" w:type="dxa"/>
            <w:tcBorders>
              <w:top w:val="nil"/>
              <w:left w:val="nil"/>
              <w:bottom w:val="nil"/>
              <w:right w:val="nil"/>
            </w:tcBorders>
            <w:vAlign w:val="bottom"/>
          </w:tcPr>
          <w:p w14:paraId="44461C50" w14:textId="77777777" w:rsidR="002C6347" w:rsidRDefault="002C6347" w:rsidP="00AE3AC8">
            <w:pPr>
              <w:ind w:left="882"/>
              <w:jc w:val="center"/>
              <w:rPr>
                <w:bCs/>
                <w:iCs/>
                <w:sz w:val="18"/>
                <w:szCs w:val="18"/>
                <w:u w:val="single"/>
              </w:rPr>
            </w:pPr>
            <w:r>
              <w:rPr>
                <w:bCs/>
                <w:iCs/>
                <w:sz w:val="18"/>
                <w:szCs w:val="18"/>
                <w:u w:val="single"/>
              </w:rPr>
              <w:t>The total energy charges billed for power delivered during the billing month by pricing period</w:t>
            </w:r>
          </w:p>
        </w:tc>
      </w:tr>
      <w:tr w:rsidR="002C6347" w14:paraId="40185F31" w14:textId="77777777" w:rsidTr="00AE3AC8">
        <w:tc>
          <w:tcPr>
            <w:tcW w:w="8640" w:type="dxa"/>
            <w:tcBorders>
              <w:left w:val="nil"/>
              <w:right w:val="nil"/>
            </w:tcBorders>
          </w:tcPr>
          <w:p w14:paraId="67298D23" w14:textId="77777777" w:rsidR="002C6347" w:rsidRDefault="002C6347" w:rsidP="00AE3AC8">
            <w:pPr>
              <w:jc w:val="center"/>
              <w:rPr>
                <w:sz w:val="18"/>
                <w:szCs w:val="18"/>
              </w:rPr>
            </w:pPr>
            <w:r>
              <w:rPr>
                <w:sz w:val="18"/>
                <w:szCs w:val="18"/>
              </w:rPr>
              <w:t>(100% – line loss % – tax% rate)</w:t>
            </w:r>
          </w:p>
        </w:tc>
      </w:tr>
      <w:tr w:rsidR="002C6347" w14:paraId="2223B378" w14:textId="77777777" w:rsidTr="00AE3AC8">
        <w:tc>
          <w:tcPr>
            <w:tcW w:w="8640" w:type="dxa"/>
            <w:tcBorders>
              <w:top w:val="nil"/>
              <w:left w:val="nil"/>
              <w:bottom w:val="nil"/>
              <w:right w:val="nil"/>
            </w:tcBorders>
          </w:tcPr>
          <w:p w14:paraId="0208AEB9" w14:textId="77777777" w:rsidR="002C6347" w:rsidRDefault="002C6347" w:rsidP="00AE3AC8">
            <w:pPr>
              <w:rPr>
                <w:b/>
                <w:bCs/>
                <w:i/>
                <w:iCs/>
              </w:rPr>
            </w:pPr>
          </w:p>
        </w:tc>
      </w:tr>
    </w:tbl>
    <w:p w14:paraId="5D148B0E" w14:textId="21190736" w:rsidR="00067DA7" w:rsidRDefault="002C6347" w:rsidP="00067DA7">
      <w:pPr>
        <w:pStyle w:val="BodyTextIndent2"/>
      </w:pPr>
      <w:r>
        <w:t xml:space="preserve">The kWh energy shall be the member’s kWh consumption metered during the billing month.  </w:t>
      </w:r>
      <w:r w:rsidR="00067DA7">
        <w:t xml:space="preserve">The member’s generation output shall be netted against its consumption on a clock hour basis.  The sum of all hours where the member’s generated kWh energy output is greater than its consumption shall be considered delivered to the G&amp;T and subject to the terms of the wholesale agreement.  The sum of all hours where the member’s energy consumption exceeds its generation output shall be considered kilowatt-hours (kWh) energy delivered to the member.  The Billing Energy shall be the total kilowatt-hours (kWh) delivered to the member by </w:t>
      </w:r>
      <w:proofErr w:type="gramStart"/>
      <w:r w:rsidR="00067DA7">
        <w:t>on-peak</w:t>
      </w:r>
      <w:proofErr w:type="gramEnd"/>
      <w:r w:rsidR="00067DA7">
        <w:t xml:space="preserve"> and off-peak period during the billing month. </w:t>
      </w:r>
    </w:p>
    <w:p w14:paraId="4EA8C847" w14:textId="556BA63C" w:rsidR="002C6347" w:rsidRDefault="002C6347" w:rsidP="002C6347">
      <w:pPr>
        <w:pStyle w:val="BodyTextIndent2"/>
      </w:pPr>
      <w:r>
        <w:t>On</w:t>
      </w:r>
      <w:r w:rsidR="009C7F30">
        <w:t>-</w:t>
      </w:r>
      <w:r>
        <w:t xml:space="preserve">peak kWh shall be kWh delivered </w:t>
      </w:r>
      <w:r w:rsidR="00067DA7">
        <w:t xml:space="preserve">to the member </w:t>
      </w:r>
      <w:r>
        <w:t xml:space="preserve">from 2:00 p.m. to 8:00 p.m. weekdays.  All other hours during weekdays and </w:t>
      </w:r>
      <w:proofErr w:type="gramStart"/>
      <w:r>
        <w:t>all day</w:t>
      </w:r>
      <w:proofErr w:type="gramEnd"/>
      <w:r>
        <w:t xml:space="preserve"> weekends shall be off peak.</w:t>
      </w:r>
    </w:p>
    <w:p w14:paraId="3C1839CA" w14:textId="5F558B33" w:rsidR="002C6347" w:rsidRPr="00391FEB" w:rsidRDefault="00DB2FEF" w:rsidP="00DB2FEF">
      <w:pPr>
        <w:pStyle w:val="Heading3"/>
      </w:pPr>
      <w:r>
        <w:t>Power Supply True-Up Adjustment</w:t>
      </w:r>
    </w:p>
    <w:p w14:paraId="086DC6BD" w14:textId="3C524033" w:rsidR="002C6347" w:rsidRPr="004E6D85" w:rsidRDefault="001F3376" w:rsidP="002C6347">
      <w:pPr>
        <w:pStyle w:val="BodyTextIndent2"/>
        <w:rPr>
          <w:lang w:bidi="ar-SA"/>
        </w:rPr>
      </w:pPr>
      <w:r>
        <w:rPr>
          <w:lang w:bidi="ar-SA"/>
        </w:rPr>
        <w:t>Noble</w:t>
      </w:r>
      <w:r w:rsidR="002C6347">
        <w:rPr>
          <w:lang w:bidi="ar-SA"/>
        </w:rPr>
        <w:t xml:space="preserve"> shall charge </w:t>
      </w:r>
      <w:r w:rsidR="002C6347" w:rsidRPr="006D7819">
        <w:t>or</w:t>
      </w:r>
      <w:r w:rsidR="002C6347">
        <w:rPr>
          <w:lang w:bidi="ar-SA"/>
        </w:rPr>
        <w:t xml:space="preserve"> credit the member’s bill for adjustments resulting from the “Annual True-Up Mechanism” contained in the wholesale rate based on the ratio of the </w:t>
      </w:r>
      <w:r w:rsidR="00AC2CFE">
        <w:rPr>
          <w:lang w:bidi="ar-SA"/>
        </w:rPr>
        <w:t xml:space="preserve">energy delivered to the </w:t>
      </w:r>
      <w:r w:rsidR="002C6347" w:rsidRPr="004E6D85">
        <w:rPr>
          <w:lang w:bidi="ar-SA"/>
        </w:rPr>
        <w:t xml:space="preserve">member divided by the </w:t>
      </w:r>
      <w:r w:rsidR="00AC2CFE" w:rsidRPr="004E6D85">
        <w:rPr>
          <w:lang w:bidi="ar-SA"/>
        </w:rPr>
        <w:t>Noble</w:t>
      </w:r>
      <w:r w:rsidR="002C6347" w:rsidRPr="004E6D85">
        <w:rPr>
          <w:lang w:bidi="ar-SA"/>
        </w:rPr>
        <w:t xml:space="preserve">’s total kWh sales for the preceding calendar year. </w:t>
      </w:r>
      <w:r w:rsidR="00B047C2" w:rsidRPr="004E6D85">
        <w:rPr>
          <w:lang w:bidi="ar-SA"/>
        </w:rPr>
        <w:t>This True-up Adjustment replaces any PCA Adjustment within this rate schedule.</w:t>
      </w:r>
    </w:p>
    <w:p w14:paraId="3A75C02A" w14:textId="73A75954" w:rsidR="00B047C2" w:rsidRPr="004E6D85" w:rsidRDefault="00B047C2" w:rsidP="00FD3A9D">
      <w:pPr>
        <w:pStyle w:val="BodyTextIndent2"/>
        <w:ind w:firstLine="360"/>
        <w:rPr>
          <w:b/>
          <w:bCs/>
          <w:u w:val="single"/>
          <w:lang w:bidi="ar-SA"/>
        </w:rPr>
      </w:pPr>
      <w:r w:rsidRPr="004E6D85">
        <w:rPr>
          <w:b/>
          <w:bCs/>
          <w:u w:val="single"/>
          <w:lang w:bidi="ar-SA"/>
        </w:rPr>
        <w:t>True Up Formula</w:t>
      </w:r>
    </w:p>
    <w:p w14:paraId="0EDA8916" w14:textId="2065DB9C" w:rsidR="00B047C2" w:rsidRPr="004E6D85" w:rsidRDefault="00B047C2" w:rsidP="00FD3A9D">
      <w:pPr>
        <w:pStyle w:val="BodyTextIndent2"/>
        <w:numPr>
          <w:ilvl w:val="0"/>
          <w:numId w:val="38"/>
        </w:numPr>
        <w:rPr>
          <w:lang w:bidi="ar-SA"/>
        </w:rPr>
      </w:pPr>
      <w:r w:rsidRPr="004E6D85">
        <w:rPr>
          <w:lang w:bidi="ar-SA"/>
        </w:rPr>
        <w:t>Prior Year Member kWh Sales / Prior Year REMC kWh Sales = Member % of Total Sales</w:t>
      </w:r>
    </w:p>
    <w:p w14:paraId="7EA6B906" w14:textId="015B5ADF" w:rsidR="00B047C2" w:rsidRPr="004E6D85" w:rsidRDefault="00B047C2" w:rsidP="00FD3A9D">
      <w:pPr>
        <w:pStyle w:val="BodyTextIndent2"/>
        <w:numPr>
          <w:ilvl w:val="0"/>
          <w:numId w:val="38"/>
        </w:numPr>
        <w:rPr>
          <w:lang w:bidi="ar-SA"/>
        </w:rPr>
      </w:pPr>
      <w:r w:rsidRPr="004E6D85">
        <w:rPr>
          <w:lang w:bidi="ar-SA"/>
        </w:rPr>
        <w:t xml:space="preserve">Member </w:t>
      </w:r>
      <w:proofErr w:type="gramStart"/>
      <w:r w:rsidRPr="004E6D85">
        <w:rPr>
          <w:lang w:bidi="ar-SA"/>
        </w:rPr>
        <w:t>Refund  =</w:t>
      </w:r>
      <w:proofErr w:type="gramEnd"/>
      <w:r w:rsidRPr="004E6D85">
        <w:rPr>
          <w:lang w:bidi="ar-SA"/>
        </w:rPr>
        <w:t xml:space="preserve">  Member % of Total Sales  x  WVPA (G&amp;T True-up) refund for prior year</w:t>
      </w:r>
    </w:p>
    <w:p w14:paraId="23E0BC4C" w14:textId="77777777" w:rsidR="00B047C2" w:rsidRPr="00391FEB" w:rsidRDefault="00B047C2" w:rsidP="002C6347">
      <w:pPr>
        <w:pStyle w:val="BodyTextIndent2"/>
        <w:rPr>
          <w:lang w:bidi="ar-SA"/>
        </w:rPr>
      </w:pPr>
    </w:p>
    <w:p w14:paraId="390D77B1" w14:textId="77777777" w:rsidR="00DB5044" w:rsidRDefault="00E553F4" w:rsidP="00ED00CD">
      <w:pPr>
        <w:pStyle w:val="Heading1"/>
      </w:pPr>
      <w:r>
        <w:t>Metering</w:t>
      </w:r>
    </w:p>
    <w:p w14:paraId="54B59272" w14:textId="77777777" w:rsidR="00635FF9" w:rsidRDefault="00635FF9" w:rsidP="00E553F4">
      <w:pPr>
        <w:pStyle w:val="BodyText"/>
      </w:pPr>
      <w:r>
        <w:t>Noble shall install</w:t>
      </w:r>
      <w:r w:rsidR="00D3754E">
        <w:t xml:space="preserve"> or cause to be installed</w:t>
      </w:r>
      <w:r>
        <w:t xml:space="preserve"> metering equipment that </w:t>
      </w:r>
      <w:proofErr w:type="gramStart"/>
      <w:r>
        <w:t>is capable of recording</w:t>
      </w:r>
      <w:proofErr w:type="gramEnd"/>
      <w:r>
        <w:t xml:space="preserve"> bi-directional energy flows on an hourly basis as necessary to administer this rate. </w:t>
      </w:r>
    </w:p>
    <w:p w14:paraId="54C014C0" w14:textId="77777777" w:rsidR="00DB5044" w:rsidRDefault="00E553F4" w:rsidP="00ED00CD">
      <w:pPr>
        <w:pStyle w:val="Heading1"/>
      </w:pPr>
      <w:r>
        <w:t>connection and disconnection</w:t>
      </w:r>
    </w:p>
    <w:p w14:paraId="67E8F4D2" w14:textId="77777777" w:rsidR="00E553F4" w:rsidRDefault="00E553F4">
      <w:pPr>
        <w:pStyle w:val="Body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The Interconnection </w:t>
      </w:r>
      <w:r w:rsidR="003A1E51">
        <w:t xml:space="preserve">Application and </w:t>
      </w:r>
      <w:r>
        <w:t xml:space="preserve">Agreement must be executed by both parties prior to the </w:t>
      </w:r>
      <w:r w:rsidR="00761D1E">
        <w:t>generation</w:t>
      </w:r>
      <w:r>
        <w:t xml:space="preserve"> facility being connected to </w:t>
      </w:r>
      <w:r w:rsidR="004D72F2">
        <w:t>Noble</w:t>
      </w:r>
      <w:r>
        <w:t>’s system.</w:t>
      </w:r>
    </w:p>
    <w:p w14:paraId="6F050BC8" w14:textId="77777777" w:rsidR="00DB5044" w:rsidRDefault="006E76F4">
      <w:pPr>
        <w:pStyle w:val="Body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In order to isolate the </w:t>
      </w:r>
      <w:r w:rsidR="00761D1E">
        <w:t>generation</w:t>
      </w:r>
      <w:r>
        <w:t xml:space="preserve"> facility from </w:t>
      </w:r>
      <w:r w:rsidR="004D72F2">
        <w:t>Noble</w:t>
      </w:r>
      <w:r>
        <w:t>’s distribution system, the member shall install an</w:t>
      </w:r>
      <w:r w:rsidR="00E553F4">
        <w:t xml:space="preserve"> outdoor, visible, lockabl</w:t>
      </w:r>
      <w:r w:rsidR="000D79DA">
        <w:t>e</w:t>
      </w:r>
      <w:r w:rsidR="00E553F4">
        <w:t xml:space="preserve"> disconnect switch</w:t>
      </w:r>
      <w:r>
        <w:t xml:space="preserve">. </w:t>
      </w:r>
      <w:r w:rsidR="00E553F4">
        <w:t xml:space="preserve">This disconnect switch </w:t>
      </w:r>
      <w:proofErr w:type="gramStart"/>
      <w:r w:rsidR="00357443">
        <w:t>shall</w:t>
      </w:r>
      <w:r w:rsidR="00E553F4">
        <w:t xml:space="preserve"> be accessible to </w:t>
      </w:r>
      <w:r w:rsidR="004D72F2">
        <w:t>Noble</w:t>
      </w:r>
      <w:r w:rsidR="00E553F4">
        <w:t xml:space="preserve"> personnel at all times</w:t>
      </w:r>
      <w:proofErr w:type="gramEnd"/>
      <w:r w:rsidR="00E553F4">
        <w:t xml:space="preserve"> and located at </w:t>
      </w:r>
      <w:r w:rsidR="005051A1">
        <w:t xml:space="preserve">or within 10 feet of </w:t>
      </w:r>
      <w:r w:rsidR="00E553F4">
        <w:t xml:space="preserve">the electric service meter location.  The disconnect switch shall meet ANSI standard C37 and </w:t>
      </w:r>
      <w:r w:rsidR="00675802">
        <w:t>shall be lockable in the open or</w:t>
      </w:r>
      <w:r w:rsidR="00E553F4">
        <w:t xml:space="preserve"> off position</w:t>
      </w:r>
      <w:r w:rsidR="00DB5044">
        <w:t>.</w:t>
      </w:r>
      <w:r w:rsidR="00E553F4">
        <w:t xml:space="preserve">  In accordance with provisions of the NEC, a permanent, weatherproof sign shall be provided by the member</w:t>
      </w:r>
      <w:r w:rsidR="00357443">
        <w:t xml:space="preserve">. </w:t>
      </w:r>
      <w:r w:rsidR="000D79DA">
        <w:t>It shall</w:t>
      </w:r>
      <w:r w:rsidR="00E553F4">
        <w:t xml:space="preserve"> be securely affixed </w:t>
      </w:r>
      <w:r w:rsidR="00357443">
        <w:t>on</w:t>
      </w:r>
      <w:r w:rsidR="00E553F4">
        <w:t xml:space="preserve"> or immediately adjacent to </w:t>
      </w:r>
      <w:r w:rsidR="005051A1">
        <w:t xml:space="preserve">the </w:t>
      </w:r>
      <w:r w:rsidR="00357443">
        <w:t xml:space="preserve">disconnect </w:t>
      </w:r>
      <w:r w:rsidR="005051A1">
        <w:t xml:space="preserve">switch.  </w:t>
      </w:r>
      <w:r w:rsidR="000D79DA">
        <w:t>The sign</w:t>
      </w:r>
      <w:r w:rsidR="00357443">
        <w:t xml:space="preserve"> </w:t>
      </w:r>
      <w:r w:rsidR="005051A1">
        <w:t xml:space="preserve">shall be clearly marked, “Generator Disconnect Switch”, with permanent ¾ inch letters or larger.  </w:t>
      </w:r>
      <w:r w:rsidR="00E553F4">
        <w:t xml:space="preserve">If the installation has more than one </w:t>
      </w:r>
      <w:proofErr w:type="gramStart"/>
      <w:r w:rsidR="00E553F4">
        <w:t>disconnect</w:t>
      </w:r>
      <w:proofErr w:type="gramEnd"/>
      <w:r w:rsidR="00E553F4">
        <w:t xml:space="preserve"> switch, each disconnect switch must be identified with its function.</w:t>
      </w:r>
    </w:p>
    <w:p w14:paraId="2FA1DC49" w14:textId="56EBC6DE" w:rsidR="005C40D2" w:rsidRDefault="004D72F2">
      <w:pPr>
        <w:pStyle w:val="Body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Noble</w:t>
      </w:r>
      <w:r w:rsidR="005C40D2">
        <w:t xml:space="preserve"> may require that the </w:t>
      </w:r>
      <w:r w:rsidR="00E00827">
        <w:t>member-owned generation</w:t>
      </w:r>
      <w:r w:rsidR="005C40D2">
        <w:t xml:space="preserve"> facility be temporarily curtailed or interrupted </w:t>
      </w:r>
      <w:proofErr w:type="gramStart"/>
      <w:r w:rsidR="005C40D2">
        <w:t>in order for</w:t>
      </w:r>
      <w:proofErr w:type="gramEnd"/>
      <w:r w:rsidR="005C40D2">
        <w:t xml:space="preserve"> </w:t>
      </w:r>
      <w:r>
        <w:t>Noble</w:t>
      </w:r>
      <w:r w:rsidR="005C40D2">
        <w:t xml:space="preserve"> to construct, install, maintain, repair, replace, or inspect any of its equipment or any part of its </w:t>
      </w:r>
      <w:r w:rsidR="00357443">
        <w:t xml:space="preserve">distribution </w:t>
      </w:r>
      <w:r w:rsidR="005C40D2">
        <w:t xml:space="preserve">system.  </w:t>
      </w:r>
      <w:r>
        <w:t>Noble</w:t>
      </w:r>
      <w:r w:rsidR="005C40D2">
        <w:t xml:space="preserve"> </w:t>
      </w:r>
      <w:r w:rsidR="005B289E">
        <w:t xml:space="preserve">will </w:t>
      </w:r>
      <w:r w:rsidR="000D79DA">
        <w:t>strive to</w:t>
      </w:r>
      <w:r w:rsidR="005B289E">
        <w:t xml:space="preserve"> provide</w:t>
      </w:r>
      <w:r w:rsidR="005C40D2">
        <w:t xml:space="preserve"> the member reasonable notice of interruption.  In any such event, </w:t>
      </w:r>
      <w:r>
        <w:t>Noble</w:t>
      </w:r>
      <w:r w:rsidR="005C40D2">
        <w:t xml:space="preserve"> shall not be obligated to accept any energy from the member.  </w:t>
      </w:r>
      <w:r>
        <w:t>Noble</w:t>
      </w:r>
      <w:r w:rsidR="005C40D2">
        <w:t xml:space="preserve"> </w:t>
      </w:r>
      <w:r w:rsidR="005B289E">
        <w:t>will</w:t>
      </w:r>
      <w:r w:rsidR="005C40D2">
        <w:t xml:space="preserve"> take reasonable steps to minimize the number and duration of such interruptions.</w:t>
      </w:r>
    </w:p>
    <w:p w14:paraId="6F8CB442" w14:textId="77777777" w:rsidR="007673F3" w:rsidRDefault="004D72F2" w:rsidP="00ED00CD">
      <w:pPr>
        <w:pStyle w:val="BodyText"/>
      </w:pPr>
      <w:r>
        <w:t>Noble</w:t>
      </w:r>
      <w:r w:rsidR="007673F3">
        <w:t xml:space="preserve"> may, at its own discretion, isolate or disconnect any </w:t>
      </w:r>
      <w:r w:rsidR="00761D1E">
        <w:t>generation</w:t>
      </w:r>
      <w:r w:rsidR="007673F3">
        <w:t xml:space="preserve"> facility if </w:t>
      </w:r>
      <w:r w:rsidR="005B289E">
        <w:t xml:space="preserve">it </w:t>
      </w:r>
      <w:r w:rsidR="007673F3">
        <w:t>has reason to believe that continued interconnection creates or contributes to a system emergency.  System emergencies include</w:t>
      </w:r>
      <w:r w:rsidR="005B289E">
        <w:t xml:space="preserve">, but not </w:t>
      </w:r>
      <w:r w:rsidR="000D79DA">
        <w:t xml:space="preserve">are </w:t>
      </w:r>
      <w:r w:rsidR="005B289E">
        <w:t>limited to,</w:t>
      </w:r>
      <w:r w:rsidR="007673F3">
        <w:t xml:space="preserve"> a disruption of service to another member, a substantial deviation from a normal service standard, or an endangerment to life or property.</w:t>
      </w:r>
    </w:p>
    <w:p w14:paraId="03EC3CB8" w14:textId="77777777" w:rsidR="00C31F4D" w:rsidRDefault="00C31F4D" w:rsidP="00ED00CD">
      <w:pPr>
        <w:pStyle w:val="Heading1"/>
      </w:pPr>
      <w:r>
        <w:t>SYSTEM LIMITATIONS</w:t>
      </w:r>
    </w:p>
    <w:p w14:paraId="18E21252" w14:textId="77777777" w:rsidR="00C31F4D" w:rsidRDefault="00C31F4D" w:rsidP="00C31F4D">
      <w:pPr>
        <w:pStyle w:val="BodyText"/>
      </w:pPr>
      <w:r>
        <w:t>In order to help maintain proper utility voltages</w:t>
      </w:r>
      <w:r w:rsidR="00B25B6D">
        <w:t>,</w:t>
      </w:r>
      <w:r>
        <w:t xml:space="preserve"> to not overload </w:t>
      </w:r>
      <w:r w:rsidR="005B289E">
        <w:t xml:space="preserve">distribution </w:t>
      </w:r>
      <w:r>
        <w:t xml:space="preserve">equipment, </w:t>
      </w:r>
      <w:r w:rsidR="00B25B6D">
        <w:t xml:space="preserve">and to prevent </w:t>
      </w:r>
      <w:r w:rsidR="00C90E63">
        <w:t xml:space="preserve">improper </w:t>
      </w:r>
      <w:r w:rsidR="00B25B6D">
        <w:t>operation of equipment</w:t>
      </w:r>
      <w:r w:rsidR="005B289E">
        <w:t>,</w:t>
      </w:r>
      <w:r w:rsidR="00B25B6D">
        <w:t xml:space="preserve"> </w:t>
      </w:r>
      <w:r>
        <w:t xml:space="preserve">the following limitations and constraints are imposed on </w:t>
      </w:r>
      <w:r w:rsidR="00761D1E">
        <w:t>generation</w:t>
      </w:r>
      <w:r>
        <w:t xml:space="preserve"> facilities</w:t>
      </w:r>
      <w:r w:rsidR="00E0170D">
        <w:t>:</w:t>
      </w:r>
      <w:r>
        <w:t xml:space="preserve"> </w:t>
      </w:r>
    </w:p>
    <w:p w14:paraId="33E5A576" w14:textId="77777777" w:rsidR="00C31F4D" w:rsidRDefault="00C31F4D" w:rsidP="00ED00CD">
      <w:pPr>
        <w:pStyle w:val="ListNumber"/>
        <w:numPr>
          <w:ilvl w:val="0"/>
          <w:numId w:val="31"/>
        </w:numPr>
      </w:pPr>
      <w:r>
        <w:t xml:space="preserve">The total nameplate capacity of </w:t>
      </w:r>
      <w:proofErr w:type="gramStart"/>
      <w:r>
        <w:t>all of</w:t>
      </w:r>
      <w:proofErr w:type="gramEnd"/>
      <w:r>
        <w:t xml:space="preserve"> the existing and proposed generation does not exceed 25% of the radial </w:t>
      </w:r>
      <w:r w:rsidR="005B289E">
        <w:t xml:space="preserve">distribution </w:t>
      </w:r>
      <w:r>
        <w:t xml:space="preserve">circuit peak load and that total is also less than the radial </w:t>
      </w:r>
      <w:r w:rsidR="005B289E">
        <w:t xml:space="preserve">distribution </w:t>
      </w:r>
      <w:r>
        <w:t>circuit minimum load.</w:t>
      </w:r>
    </w:p>
    <w:p w14:paraId="0C097943" w14:textId="77777777" w:rsidR="00C31F4D" w:rsidRDefault="00C31F4D" w:rsidP="00C31F4D">
      <w:pPr>
        <w:pStyle w:val="ListNumber"/>
        <w:numPr>
          <w:ilvl w:val="0"/>
          <w:numId w:val="31"/>
        </w:numPr>
      </w:pPr>
      <w:r w:rsidRPr="00C31F4D">
        <w:t>The proposed generator</w:t>
      </w:r>
      <w:r w:rsidR="000D79DA">
        <w:t>’s</w:t>
      </w:r>
      <w:r w:rsidRPr="00C31F4D">
        <w:t xml:space="preserve"> </w:t>
      </w:r>
      <w:r w:rsidR="00E0170D">
        <w:t xml:space="preserve">nameplate capacity </w:t>
      </w:r>
      <w:r w:rsidRPr="00C31F4D">
        <w:t>does not exceed 15% of the annual peak load for the line section with which it will interconnect.</w:t>
      </w:r>
      <w:r>
        <w:t xml:space="preserve">  A line section is defined as that section of the distribution system between two sectionalizing devices.</w:t>
      </w:r>
    </w:p>
    <w:p w14:paraId="627DA733" w14:textId="77777777" w:rsidR="00C31F4D" w:rsidRDefault="00C31F4D" w:rsidP="00C31F4D">
      <w:pPr>
        <w:pStyle w:val="ListNumber"/>
        <w:numPr>
          <w:ilvl w:val="0"/>
          <w:numId w:val="31"/>
        </w:numPr>
      </w:pPr>
      <w:r>
        <w:t xml:space="preserve">The proposed generator </w:t>
      </w:r>
      <w:r w:rsidR="000D79DA">
        <w:t>does</w:t>
      </w:r>
      <w:r>
        <w:t xml:space="preserve"> not contribute more than 10% to the distribution circuit’s maximum fault current at the point of the nearest interconnection with </w:t>
      </w:r>
      <w:r w:rsidR="004D72F2">
        <w:t>Noble</w:t>
      </w:r>
      <w:r>
        <w:t>’s primary distribution voltage.</w:t>
      </w:r>
    </w:p>
    <w:p w14:paraId="098441A6" w14:textId="77777777" w:rsidR="00C31F4D" w:rsidRDefault="00C31F4D" w:rsidP="00C31F4D">
      <w:pPr>
        <w:pStyle w:val="ListNumber"/>
        <w:numPr>
          <w:ilvl w:val="0"/>
          <w:numId w:val="31"/>
        </w:numPr>
      </w:pPr>
      <w:r>
        <w:t xml:space="preserve">The proposed generator’s nameplate capacity, in aggregate with </w:t>
      </w:r>
      <w:proofErr w:type="gramStart"/>
      <w:r>
        <w:t>all of</w:t>
      </w:r>
      <w:proofErr w:type="gramEnd"/>
      <w:r>
        <w:t xml:space="preserve"> the other generators on the distribution circuit, will not cause any distribution protective devices to exceed 85% of their short circuit interrupting capability.</w:t>
      </w:r>
    </w:p>
    <w:p w14:paraId="31D722EB" w14:textId="77777777" w:rsidR="00C31F4D" w:rsidRPr="00C31F4D" w:rsidRDefault="00C31F4D" w:rsidP="00ED00CD">
      <w:pPr>
        <w:pStyle w:val="BodyText"/>
      </w:pPr>
      <w:r>
        <w:t xml:space="preserve">Any generation exceeding the above limitations and constraints will not be allowed to interconnect to </w:t>
      </w:r>
      <w:r w:rsidR="004D72F2">
        <w:t>Noble</w:t>
      </w:r>
      <w:r>
        <w:t xml:space="preserve">’s distribution system.  With regards to system capacity limitations and constraints, </w:t>
      </w:r>
      <w:r w:rsidR="00761D1E">
        <w:t>generation</w:t>
      </w:r>
      <w:r>
        <w:t xml:space="preserve"> projects will be evaluated on a first-come, first-served basis.</w:t>
      </w:r>
      <w:r w:rsidR="001F1C61">
        <w:t xml:space="preserve">  Any modifications to </w:t>
      </w:r>
      <w:r w:rsidR="004D72F2">
        <w:t>Noble</w:t>
      </w:r>
      <w:r w:rsidR="001F1C61">
        <w:t xml:space="preserve">’s distribution system required for the interconnection of a </w:t>
      </w:r>
      <w:r w:rsidR="00761D1E">
        <w:t>generation</w:t>
      </w:r>
      <w:r w:rsidR="001F1C61">
        <w:t xml:space="preserve"> </w:t>
      </w:r>
      <w:r w:rsidR="008F48C8">
        <w:t>facility</w:t>
      </w:r>
      <w:r w:rsidR="001F1C61">
        <w:t xml:space="preserve"> are at the</w:t>
      </w:r>
      <w:r w:rsidR="008F48C8">
        <w:t xml:space="preserve"> expense of the </w:t>
      </w:r>
      <w:r w:rsidR="00E0170D">
        <w:t>member.</w:t>
      </w:r>
      <w:r w:rsidR="001F1C61">
        <w:t xml:space="preserve"> </w:t>
      </w:r>
    </w:p>
    <w:p w14:paraId="25637241" w14:textId="77777777" w:rsidR="00DB5044" w:rsidRDefault="00DB5044" w:rsidP="00ED00CD">
      <w:pPr>
        <w:pStyle w:val="Heading1"/>
      </w:pPr>
      <w:r>
        <w:t>Other Conditions of Service</w:t>
      </w:r>
    </w:p>
    <w:p w14:paraId="7322FC21" w14:textId="77777777" w:rsidR="00DB5044" w:rsidRDefault="00DB5044">
      <w:pPr>
        <w:pStyle w:val="ListNumber"/>
        <w:numPr>
          <w:ilvl w:val="0"/>
          <w:numId w:val="13"/>
        </w:numPr>
      </w:pPr>
      <w:r>
        <w:t>Service under this rate will be furnished on a continuous twelve-month basis.</w:t>
      </w:r>
    </w:p>
    <w:p w14:paraId="202F79FF" w14:textId="77777777" w:rsidR="00DB5044" w:rsidRDefault="004D72F2">
      <w:pPr>
        <w:pStyle w:val="ListNumber"/>
        <w:numPr>
          <w:ilvl w:val="0"/>
          <w:numId w:val="13"/>
        </w:numPr>
      </w:pPr>
      <w:r>
        <w:t>Noble</w:t>
      </w:r>
      <w:r w:rsidR="00DB5044">
        <w:t xml:space="preserve"> may require corrective measures or devices for any </w:t>
      </w:r>
      <w:r w:rsidR="005C40D2">
        <w:t xml:space="preserve">generator </w:t>
      </w:r>
      <w:r w:rsidR="00DB5044">
        <w:t xml:space="preserve">or </w:t>
      </w:r>
      <w:r w:rsidR="005C40D2">
        <w:t>inverter</w:t>
      </w:r>
      <w:r w:rsidR="00DB5044">
        <w:t xml:space="preserve"> that in the opinion of </w:t>
      </w:r>
      <w:r>
        <w:t>Noble</w:t>
      </w:r>
      <w:r w:rsidR="00DB5044">
        <w:t xml:space="preserve"> will cause </w:t>
      </w:r>
      <w:r w:rsidR="00B25B6D">
        <w:t xml:space="preserve">objectionable </w:t>
      </w:r>
      <w:r w:rsidR="00DB5044">
        <w:t>voltage fluctuation</w:t>
      </w:r>
      <w:r w:rsidR="00B25B6D">
        <w:t>s</w:t>
      </w:r>
      <w:r w:rsidR="00DB5044">
        <w:t xml:space="preserve"> to other </w:t>
      </w:r>
      <w:r w:rsidR="00433AE1">
        <w:t>member</w:t>
      </w:r>
      <w:r w:rsidR="00DB5044">
        <w:t xml:space="preserve">s. The </w:t>
      </w:r>
      <w:r w:rsidR="00433AE1">
        <w:t>member</w:t>
      </w:r>
      <w:r w:rsidR="00DB5044">
        <w:t xml:space="preserve"> shall limit harmonic distortion per IEEE Standard 519</w:t>
      </w:r>
      <w:r w:rsidR="00505B10">
        <w:t xml:space="preserve">.  </w:t>
      </w:r>
    </w:p>
    <w:p w14:paraId="5867F6CA" w14:textId="77777777" w:rsidR="00DB5044" w:rsidRDefault="00DB5044">
      <w:pPr>
        <w:pStyle w:val="ListNumber"/>
        <w:numPr>
          <w:ilvl w:val="0"/>
          <w:numId w:val="13"/>
        </w:numPr>
      </w:pPr>
      <w:r>
        <w:t xml:space="preserve">At </w:t>
      </w:r>
      <w:r w:rsidR="00FC684B">
        <w:t xml:space="preserve">the removal of the </w:t>
      </w:r>
      <w:r w:rsidR="00761D1E">
        <w:t>generation</w:t>
      </w:r>
      <w:r w:rsidR="00FC684B">
        <w:t xml:space="preserve"> installation</w:t>
      </w:r>
      <w:r>
        <w:t xml:space="preserve">, the </w:t>
      </w:r>
      <w:r w:rsidR="00433AE1">
        <w:t>member</w:t>
      </w:r>
      <w:r>
        <w:t xml:space="preserve"> shall revert to the standard tariff in effect and applicable to the </w:t>
      </w:r>
      <w:r w:rsidR="00433AE1">
        <w:t>member</w:t>
      </w:r>
      <w:r>
        <w:t>.</w:t>
      </w:r>
    </w:p>
    <w:p w14:paraId="27738458" w14:textId="77777777" w:rsidR="00DB5044" w:rsidRDefault="004D72F2">
      <w:pPr>
        <w:pStyle w:val="ListNumber"/>
        <w:numPr>
          <w:ilvl w:val="0"/>
          <w:numId w:val="13"/>
        </w:numPr>
      </w:pPr>
      <w:r>
        <w:t>Noble</w:t>
      </w:r>
      <w:r w:rsidR="00DB5044">
        <w:t xml:space="preserve"> </w:t>
      </w:r>
      <w:proofErr w:type="gramStart"/>
      <w:r w:rsidR="00DB5044">
        <w:t xml:space="preserve">shall have access to the </w:t>
      </w:r>
      <w:r w:rsidR="00761D1E">
        <w:t>generation</w:t>
      </w:r>
      <w:r w:rsidR="003A1E51">
        <w:t xml:space="preserve"> installation </w:t>
      </w:r>
      <w:r w:rsidR="00DB5044">
        <w:t>at all times</w:t>
      </w:r>
      <w:proofErr w:type="gramEnd"/>
      <w:r w:rsidR="00DB5044">
        <w:t>.</w:t>
      </w:r>
    </w:p>
    <w:p w14:paraId="15A8D919" w14:textId="77777777" w:rsidR="00DB5044" w:rsidRDefault="00DB5044">
      <w:pPr>
        <w:pStyle w:val="ListNumber"/>
        <w:numPr>
          <w:ilvl w:val="0"/>
          <w:numId w:val="13"/>
        </w:numPr>
      </w:pPr>
      <w:r>
        <w:t xml:space="preserve">Interruption or temporary stoppage of the supply of electric energy occasioned by fire, strike, equipment failure and casualty, or acts of God or public authorities, beyond the control of </w:t>
      </w:r>
      <w:r w:rsidR="004D72F2">
        <w:t>Noble</w:t>
      </w:r>
      <w:r>
        <w:t xml:space="preserve">, shall not constitute a breach of the obligation of </w:t>
      </w:r>
      <w:r w:rsidR="004D72F2">
        <w:t>Noble</w:t>
      </w:r>
      <w:r>
        <w:t>.</w:t>
      </w:r>
    </w:p>
    <w:p w14:paraId="099D3F3F" w14:textId="77777777" w:rsidR="00DB5044" w:rsidRDefault="00DB5044" w:rsidP="00ED00CD">
      <w:pPr>
        <w:pStyle w:val="Heading1"/>
      </w:pPr>
      <w:r>
        <w:t>Terms of Payment</w:t>
      </w:r>
    </w:p>
    <w:p w14:paraId="708FF8F9" w14:textId="77777777" w:rsidR="00DB5044" w:rsidRDefault="00DB5044">
      <w:pPr>
        <w:pStyle w:val="BodyText"/>
      </w:pPr>
      <w:r>
        <w:t>Refer to Appendix B.</w:t>
      </w:r>
    </w:p>
    <w:p w14:paraId="5E4F6549" w14:textId="77777777" w:rsidR="00DB5044" w:rsidRDefault="00DB5044" w:rsidP="00ED00CD">
      <w:pPr>
        <w:pStyle w:val="Heading1"/>
      </w:pPr>
      <w:r>
        <w:t>Late Payment Charge</w:t>
      </w:r>
    </w:p>
    <w:p w14:paraId="26ED930A" w14:textId="77777777" w:rsidR="00DB5044" w:rsidRDefault="00DB5044">
      <w:pPr>
        <w:pStyle w:val="BodyText"/>
      </w:pPr>
      <w:r>
        <w:t>Refer to Appendix B.</w:t>
      </w:r>
    </w:p>
    <w:p w14:paraId="032EA13B" w14:textId="77777777" w:rsidR="00DB5044" w:rsidRDefault="00DB5044" w:rsidP="00ED00CD">
      <w:pPr>
        <w:pStyle w:val="Heading1"/>
      </w:pPr>
      <w:r>
        <w:t>Interpretation</w:t>
      </w:r>
    </w:p>
    <w:p w14:paraId="2EEC098F" w14:textId="77777777" w:rsidR="00DB5044" w:rsidRDefault="00DB5044">
      <w:pPr>
        <w:pStyle w:val="BodyText"/>
      </w:pPr>
      <w:r>
        <w:t>Refer to Appendix B.</w:t>
      </w:r>
    </w:p>
    <w:p w14:paraId="3037847A" w14:textId="77777777" w:rsidR="00DB5044" w:rsidRDefault="00DB5044" w:rsidP="00ED00CD">
      <w:pPr>
        <w:pStyle w:val="Heading1"/>
      </w:pPr>
      <w:r>
        <w:t>All Other Non-Recurring Charges</w:t>
      </w:r>
    </w:p>
    <w:p w14:paraId="5CE1F869" w14:textId="77777777" w:rsidR="00DB5044" w:rsidRDefault="00DB5044">
      <w:pPr>
        <w:pStyle w:val="BodyText"/>
      </w:pPr>
      <w:r>
        <w:t>Refer to Appendix B.</w:t>
      </w:r>
    </w:p>
    <w:p w14:paraId="6403C7E8" w14:textId="77777777" w:rsidR="00222358" w:rsidRDefault="00222358" w:rsidP="00ED00CD">
      <w:pPr>
        <w:pStyle w:val="Heading1"/>
      </w:pPr>
      <w:r>
        <w:t>TERMS AND CONDITIONS APPLICABLE TO rATE sCHEDULES</w:t>
      </w:r>
    </w:p>
    <w:p w14:paraId="0019017A" w14:textId="77777777" w:rsidR="00222358" w:rsidRPr="00222358" w:rsidRDefault="00222358" w:rsidP="00222358">
      <w:pPr>
        <w:pStyle w:val="BodyText"/>
      </w:pPr>
      <w:r>
        <w:t>Refer to Appendix A.</w:t>
      </w:r>
    </w:p>
    <w:p w14:paraId="0D93C826" w14:textId="6467BA01" w:rsidR="00E265C7" w:rsidRDefault="00E265C7" w:rsidP="00E265C7">
      <w:pPr>
        <w:pStyle w:val="Heading1"/>
      </w:pPr>
      <w:r w:rsidRPr="00E265C7">
        <w:t>OPERATION ROUND UP</w:t>
      </w:r>
    </w:p>
    <w:p w14:paraId="7A57B797" w14:textId="11EF049F" w:rsidR="00E265C7" w:rsidRPr="00E265C7" w:rsidRDefault="00E265C7" w:rsidP="00E265C7">
      <w:pPr>
        <w:pStyle w:val="BodyText"/>
      </w:pPr>
      <w:r w:rsidRPr="00E265C7">
        <w:t>Refer to Appendix E.</w:t>
      </w:r>
    </w:p>
    <w:p w14:paraId="25753657" w14:textId="6642D8C9" w:rsidR="00E265C7" w:rsidRPr="00E265C7" w:rsidRDefault="00E265C7" w:rsidP="00E265C7">
      <w:pPr>
        <w:pStyle w:val="BodyText"/>
      </w:pPr>
      <w:bookmarkStart w:id="0" w:name="_Hlk32330272"/>
    </w:p>
    <w:bookmarkEnd w:id="0"/>
    <w:p w14:paraId="4D508259" w14:textId="4A36CDB7" w:rsidR="00E265C7" w:rsidRDefault="00E265C7" w:rsidP="00E265C7">
      <w:pPr>
        <w:pStyle w:val="BodyText"/>
      </w:pPr>
    </w:p>
    <w:p w14:paraId="724E9FD0" w14:textId="77777777" w:rsidR="00E265C7" w:rsidRDefault="00E265C7">
      <w:pPr>
        <w:pStyle w:val="BodyText"/>
      </w:pPr>
    </w:p>
    <w:p w14:paraId="24BC4EFC" w14:textId="672ED005" w:rsidR="00E265C7" w:rsidRDefault="00E265C7">
      <w:pPr>
        <w:pStyle w:val="BodyText"/>
      </w:pPr>
    </w:p>
    <w:p w14:paraId="09EF2BAF" w14:textId="322274D4" w:rsidR="00E265C7" w:rsidRDefault="00E265C7">
      <w:pPr>
        <w:pStyle w:val="BodyText"/>
      </w:pPr>
    </w:p>
    <w:p w14:paraId="6F9F689B" w14:textId="77777777" w:rsidR="00C97E0B" w:rsidRPr="00C97E0B" w:rsidRDefault="00C97E0B" w:rsidP="00C97E0B"/>
    <w:p w14:paraId="43CAADDB" w14:textId="77777777" w:rsidR="00C97E0B" w:rsidRPr="00C97E0B" w:rsidRDefault="00C97E0B" w:rsidP="00C97E0B"/>
    <w:p w14:paraId="2EA2C93D" w14:textId="77777777" w:rsidR="00C97E0B" w:rsidRPr="00C97E0B" w:rsidRDefault="00C97E0B" w:rsidP="00C97E0B"/>
    <w:p w14:paraId="79014806" w14:textId="77777777" w:rsidR="00C97E0B" w:rsidRPr="00C97E0B" w:rsidRDefault="00C97E0B" w:rsidP="00C97E0B"/>
    <w:p w14:paraId="284DDBC4" w14:textId="77777777" w:rsidR="00C97E0B" w:rsidRPr="00C97E0B" w:rsidRDefault="00C97E0B" w:rsidP="00C97E0B"/>
    <w:p w14:paraId="4001DE52" w14:textId="77777777" w:rsidR="00C97E0B" w:rsidRPr="00C97E0B" w:rsidRDefault="00C97E0B" w:rsidP="00C97E0B"/>
    <w:p w14:paraId="6FA87BC2" w14:textId="77777777" w:rsidR="00C97E0B" w:rsidRPr="00C97E0B" w:rsidRDefault="00C97E0B" w:rsidP="00C97E0B"/>
    <w:p w14:paraId="07AF4A84" w14:textId="77777777" w:rsidR="00C97E0B" w:rsidRPr="00C97E0B" w:rsidRDefault="00C97E0B" w:rsidP="00C97E0B"/>
    <w:p w14:paraId="7049B850" w14:textId="77777777" w:rsidR="00C97E0B" w:rsidRPr="00C97E0B" w:rsidRDefault="00C97E0B" w:rsidP="00C97E0B"/>
    <w:p w14:paraId="03EBCC10" w14:textId="77777777" w:rsidR="00C97E0B" w:rsidRPr="00C97E0B" w:rsidRDefault="00C97E0B" w:rsidP="00C97E0B"/>
    <w:p w14:paraId="0A769027" w14:textId="77777777" w:rsidR="00C97E0B" w:rsidRPr="00C97E0B" w:rsidRDefault="00C97E0B" w:rsidP="00C97E0B"/>
    <w:p w14:paraId="639A1BB4" w14:textId="77777777" w:rsidR="00C97E0B" w:rsidRPr="00C97E0B" w:rsidRDefault="00C97E0B" w:rsidP="00C97E0B"/>
    <w:p w14:paraId="029C59C1" w14:textId="77777777" w:rsidR="00C97E0B" w:rsidRPr="00C97E0B" w:rsidRDefault="00C97E0B" w:rsidP="00C97E0B"/>
    <w:p w14:paraId="055C38AD" w14:textId="77777777" w:rsidR="00C97E0B" w:rsidRPr="00C97E0B" w:rsidRDefault="00C97E0B" w:rsidP="00C97E0B"/>
    <w:p w14:paraId="4653BD51" w14:textId="77777777" w:rsidR="00C97E0B" w:rsidRPr="00C97E0B" w:rsidRDefault="00C97E0B" w:rsidP="00C97E0B"/>
    <w:p w14:paraId="355D77BF" w14:textId="77777777" w:rsidR="00C97E0B" w:rsidRPr="00C97E0B" w:rsidRDefault="00C97E0B" w:rsidP="00C97E0B"/>
    <w:p w14:paraId="51FDBF5F" w14:textId="77777777" w:rsidR="00C97E0B" w:rsidRPr="00C97E0B" w:rsidRDefault="00C97E0B" w:rsidP="00C97E0B"/>
    <w:p w14:paraId="2FACEC4B" w14:textId="77777777" w:rsidR="00C97E0B" w:rsidRPr="00C97E0B" w:rsidRDefault="00C97E0B" w:rsidP="00C97E0B"/>
    <w:p w14:paraId="2FC94C5E" w14:textId="77777777" w:rsidR="00C97E0B" w:rsidRPr="00C97E0B" w:rsidRDefault="00C97E0B" w:rsidP="00C97E0B"/>
    <w:p w14:paraId="496D5CC8" w14:textId="77777777" w:rsidR="00C97E0B" w:rsidRPr="00C97E0B" w:rsidRDefault="00C97E0B" w:rsidP="00C97E0B"/>
    <w:p w14:paraId="5B924C18" w14:textId="77777777" w:rsidR="00C97E0B" w:rsidRPr="00C97E0B" w:rsidRDefault="00C97E0B" w:rsidP="00C97E0B"/>
    <w:p w14:paraId="3FAD3426" w14:textId="6438F33D" w:rsidR="00E71DB9" w:rsidRDefault="00265B78" w:rsidP="00E71DB9">
      <w:pPr>
        <w:rPr>
          <w:b/>
          <w:sz w:val="44"/>
          <w:szCs w:val="44"/>
          <w:u w:val="single"/>
        </w:rPr>
      </w:pPr>
      <w:r>
        <w:rPr>
          <w:b/>
          <w:sz w:val="44"/>
          <w:szCs w:val="44"/>
          <w:u w:val="single"/>
        </w:rPr>
        <w:t>2020 Power Supply Rates</w:t>
      </w:r>
      <w:r w:rsidR="00710252">
        <w:rPr>
          <w:b/>
          <w:sz w:val="44"/>
          <w:szCs w:val="44"/>
          <w:u w:val="single"/>
        </w:rPr>
        <w:t xml:space="preserve"> </w:t>
      </w:r>
      <w:r w:rsidR="003F39D5">
        <w:rPr>
          <w:b/>
          <w:sz w:val="28"/>
          <w:szCs w:val="28"/>
          <w:u w:val="single"/>
        </w:rPr>
        <w:t>(M</w:t>
      </w:r>
      <w:r w:rsidR="00710252" w:rsidRPr="00710252">
        <w:rPr>
          <w:b/>
          <w:sz w:val="28"/>
          <w:szCs w:val="28"/>
          <w:u w:val="single"/>
        </w:rPr>
        <w:t>ember Purchase</w:t>
      </w:r>
      <w:r w:rsidR="00710252">
        <w:rPr>
          <w:b/>
          <w:sz w:val="28"/>
          <w:szCs w:val="28"/>
          <w:u w:val="single"/>
        </w:rPr>
        <w:t xml:space="preserve"> from REMC)</w:t>
      </w:r>
    </w:p>
    <w:p w14:paraId="59ACB838" w14:textId="77777777" w:rsidR="00E71DB9" w:rsidRDefault="00E71DB9" w:rsidP="00E71DB9">
      <w:pPr>
        <w:rPr>
          <w:b/>
          <w:sz w:val="32"/>
          <w:szCs w:val="32"/>
        </w:rPr>
      </w:pPr>
    </w:p>
    <w:p w14:paraId="52242013" w14:textId="77777777" w:rsidR="00E71DB9" w:rsidRPr="00880A57" w:rsidRDefault="00E71DB9" w:rsidP="00E71DB9">
      <w:pPr>
        <w:rPr>
          <w:b/>
          <w:sz w:val="32"/>
          <w:szCs w:val="32"/>
          <w:u w:val="single"/>
        </w:rPr>
      </w:pPr>
      <w:r w:rsidRPr="00880A57">
        <w:rPr>
          <w:b/>
          <w:sz w:val="32"/>
          <w:szCs w:val="32"/>
          <w:u w:val="single"/>
        </w:rPr>
        <w:t>Power Supply Service</w:t>
      </w:r>
    </w:p>
    <w:p w14:paraId="4EEF49AD" w14:textId="23D8A79A" w:rsidR="00E71DB9" w:rsidRDefault="00E71DB9" w:rsidP="00E71DB9">
      <w:pPr>
        <w:rPr>
          <w:sz w:val="32"/>
          <w:szCs w:val="32"/>
        </w:rPr>
      </w:pPr>
      <w:r w:rsidRPr="00880A57">
        <w:rPr>
          <w:sz w:val="32"/>
          <w:szCs w:val="32"/>
        </w:rPr>
        <w:t>Coincident Peak Demand Charge*</w:t>
      </w:r>
      <w:r w:rsidRPr="00880A57">
        <w:rPr>
          <w:sz w:val="32"/>
          <w:szCs w:val="32"/>
        </w:rPr>
        <w:tab/>
      </w:r>
      <w:r w:rsidRPr="00880A57">
        <w:rPr>
          <w:sz w:val="32"/>
          <w:szCs w:val="32"/>
        </w:rPr>
        <w:tab/>
      </w:r>
      <w:r w:rsidRPr="00880A57">
        <w:rPr>
          <w:sz w:val="32"/>
          <w:szCs w:val="32"/>
        </w:rPr>
        <w:tab/>
      </w:r>
      <w:r w:rsidRPr="00880A57">
        <w:rPr>
          <w:sz w:val="32"/>
          <w:szCs w:val="32"/>
        </w:rPr>
        <w:tab/>
        <w:t>$      17.</w:t>
      </w:r>
      <w:r w:rsidR="00265B78">
        <w:rPr>
          <w:sz w:val="32"/>
          <w:szCs w:val="32"/>
        </w:rPr>
        <w:t>51</w:t>
      </w:r>
      <w:r w:rsidRPr="00880A57">
        <w:rPr>
          <w:sz w:val="32"/>
          <w:szCs w:val="32"/>
        </w:rPr>
        <w:tab/>
        <w:t xml:space="preserve"> kW</w:t>
      </w:r>
    </w:p>
    <w:p w14:paraId="469ACD91" w14:textId="77777777" w:rsidR="00726EC3" w:rsidRPr="00880A57" w:rsidRDefault="00726EC3" w:rsidP="00E71DB9">
      <w:pPr>
        <w:rPr>
          <w:sz w:val="32"/>
          <w:szCs w:val="32"/>
        </w:rPr>
      </w:pPr>
    </w:p>
    <w:p w14:paraId="4CEA4458" w14:textId="470F66A9" w:rsidR="00E71DB9" w:rsidRDefault="00E71DB9" w:rsidP="00E71DB9">
      <w:pPr>
        <w:rPr>
          <w:sz w:val="32"/>
          <w:szCs w:val="32"/>
        </w:rPr>
      </w:pPr>
      <w:r w:rsidRPr="00880A57">
        <w:rPr>
          <w:sz w:val="32"/>
          <w:szCs w:val="32"/>
        </w:rPr>
        <w:t>On-Peak kWh Charge**</w:t>
      </w:r>
      <w:r w:rsidRPr="00880A57">
        <w:rPr>
          <w:sz w:val="32"/>
          <w:szCs w:val="32"/>
        </w:rPr>
        <w:tab/>
      </w:r>
      <w:r w:rsidRPr="00880A57">
        <w:rPr>
          <w:sz w:val="32"/>
          <w:szCs w:val="32"/>
        </w:rPr>
        <w:tab/>
      </w:r>
      <w:r w:rsidRPr="00880A57">
        <w:rPr>
          <w:sz w:val="32"/>
          <w:szCs w:val="32"/>
        </w:rPr>
        <w:tab/>
      </w:r>
      <w:r w:rsidRPr="00880A57">
        <w:rPr>
          <w:sz w:val="32"/>
          <w:szCs w:val="32"/>
        </w:rPr>
        <w:tab/>
      </w:r>
      <w:r w:rsidRPr="00880A57">
        <w:rPr>
          <w:sz w:val="32"/>
          <w:szCs w:val="32"/>
        </w:rPr>
        <w:tab/>
      </w:r>
      <w:r w:rsidRPr="00880A57">
        <w:rPr>
          <w:sz w:val="32"/>
          <w:szCs w:val="32"/>
        </w:rPr>
        <w:tab/>
        <w:t>$0.</w:t>
      </w:r>
      <w:proofErr w:type="gramStart"/>
      <w:r w:rsidRPr="00880A57">
        <w:rPr>
          <w:sz w:val="32"/>
          <w:szCs w:val="32"/>
        </w:rPr>
        <w:t>0</w:t>
      </w:r>
      <w:r w:rsidR="00265B78">
        <w:rPr>
          <w:sz w:val="32"/>
          <w:szCs w:val="32"/>
        </w:rPr>
        <w:t>56185</w:t>
      </w:r>
      <w:r w:rsidRPr="00880A57">
        <w:rPr>
          <w:sz w:val="32"/>
          <w:szCs w:val="32"/>
        </w:rPr>
        <w:t xml:space="preserve">  kWh</w:t>
      </w:r>
      <w:proofErr w:type="gramEnd"/>
    </w:p>
    <w:p w14:paraId="440AF872" w14:textId="77777777" w:rsidR="00726EC3" w:rsidRPr="00880A57" w:rsidRDefault="00726EC3" w:rsidP="00E71DB9">
      <w:pPr>
        <w:rPr>
          <w:sz w:val="32"/>
          <w:szCs w:val="32"/>
        </w:rPr>
      </w:pPr>
    </w:p>
    <w:p w14:paraId="524CBD48" w14:textId="26D92E79" w:rsidR="00E71DB9" w:rsidRPr="00880A57" w:rsidRDefault="00E71DB9" w:rsidP="00E71DB9">
      <w:pPr>
        <w:rPr>
          <w:sz w:val="32"/>
          <w:szCs w:val="32"/>
        </w:rPr>
      </w:pPr>
      <w:r w:rsidRPr="00880A57">
        <w:rPr>
          <w:sz w:val="32"/>
          <w:szCs w:val="32"/>
        </w:rPr>
        <w:t>Off-Peak kWh Charge</w:t>
      </w:r>
      <w:r w:rsidRPr="00880A57">
        <w:rPr>
          <w:sz w:val="32"/>
          <w:szCs w:val="32"/>
        </w:rPr>
        <w:tab/>
      </w:r>
      <w:r w:rsidRPr="00880A57">
        <w:rPr>
          <w:sz w:val="32"/>
          <w:szCs w:val="32"/>
        </w:rPr>
        <w:tab/>
      </w:r>
      <w:r w:rsidRPr="00880A57">
        <w:rPr>
          <w:sz w:val="32"/>
          <w:szCs w:val="32"/>
        </w:rPr>
        <w:tab/>
      </w:r>
      <w:r w:rsidRPr="00880A57">
        <w:rPr>
          <w:sz w:val="32"/>
          <w:szCs w:val="32"/>
        </w:rPr>
        <w:tab/>
      </w:r>
      <w:r w:rsidRPr="00880A57">
        <w:rPr>
          <w:sz w:val="32"/>
          <w:szCs w:val="32"/>
        </w:rPr>
        <w:tab/>
      </w:r>
      <w:r w:rsidRPr="00880A57">
        <w:rPr>
          <w:sz w:val="32"/>
          <w:szCs w:val="32"/>
        </w:rPr>
        <w:tab/>
      </w:r>
      <w:r w:rsidRPr="00880A57">
        <w:rPr>
          <w:sz w:val="32"/>
          <w:szCs w:val="32"/>
        </w:rPr>
        <w:tab/>
        <w:t>$0.</w:t>
      </w:r>
      <w:proofErr w:type="gramStart"/>
      <w:r w:rsidRPr="00880A57">
        <w:rPr>
          <w:sz w:val="32"/>
          <w:szCs w:val="32"/>
        </w:rPr>
        <w:t>0</w:t>
      </w:r>
      <w:r w:rsidR="00265B78">
        <w:rPr>
          <w:sz w:val="32"/>
          <w:szCs w:val="32"/>
        </w:rPr>
        <w:t>45580</w:t>
      </w:r>
      <w:r w:rsidRPr="00880A57">
        <w:rPr>
          <w:sz w:val="32"/>
          <w:szCs w:val="32"/>
        </w:rPr>
        <w:t xml:space="preserve">  kWh</w:t>
      </w:r>
      <w:proofErr w:type="gramEnd"/>
    </w:p>
    <w:p w14:paraId="650660C6" w14:textId="77777777" w:rsidR="00E71DB9" w:rsidRDefault="00E71DB9" w:rsidP="00E71DB9">
      <w:pPr>
        <w:rPr>
          <w:b/>
          <w:sz w:val="32"/>
          <w:szCs w:val="32"/>
        </w:rPr>
      </w:pPr>
    </w:p>
    <w:p w14:paraId="2D33383F" w14:textId="77777777" w:rsidR="00E47FCB" w:rsidRDefault="00E47FCB" w:rsidP="00E71DB9">
      <w:pPr>
        <w:rPr>
          <w:sz w:val="24"/>
          <w:szCs w:val="24"/>
        </w:rPr>
      </w:pPr>
    </w:p>
    <w:p w14:paraId="40BB822B" w14:textId="5F5A7B26" w:rsidR="00E71DB9" w:rsidRPr="00880A57" w:rsidRDefault="00E71DB9" w:rsidP="00E71DB9">
      <w:pPr>
        <w:rPr>
          <w:sz w:val="24"/>
          <w:szCs w:val="24"/>
        </w:rPr>
      </w:pPr>
      <w:r w:rsidRPr="00880A57">
        <w:rPr>
          <w:sz w:val="24"/>
          <w:szCs w:val="24"/>
        </w:rPr>
        <w:t>*Coincident Peak Demand Charge is our power supplier’s highest kW</w:t>
      </w:r>
    </w:p>
    <w:p w14:paraId="747D7739" w14:textId="556562C6" w:rsidR="00E71DB9" w:rsidRDefault="00E71DB9" w:rsidP="00E71DB9">
      <w:pPr>
        <w:rPr>
          <w:sz w:val="24"/>
          <w:szCs w:val="24"/>
        </w:rPr>
      </w:pPr>
      <w:r w:rsidRPr="00880A57">
        <w:rPr>
          <w:sz w:val="24"/>
          <w:szCs w:val="24"/>
        </w:rPr>
        <w:t>Hourly demand between the hours of 2-8 PM weekdays in the month.</w:t>
      </w:r>
    </w:p>
    <w:p w14:paraId="2D8B1D13" w14:textId="77777777" w:rsidR="00E47FCB" w:rsidRPr="00880A57" w:rsidRDefault="00E47FCB" w:rsidP="00E71DB9">
      <w:pPr>
        <w:rPr>
          <w:sz w:val="24"/>
          <w:szCs w:val="24"/>
        </w:rPr>
      </w:pPr>
    </w:p>
    <w:p w14:paraId="0C53AA1D" w14:textId="4CE71EE5" w:rsidR="00E71DB9" w:rsidRDefault="00E71DB9" w:rsidP="00E71DB9">
      <w:pPr>
        <w:rPr>
          <w:sz w:val="24"/>
          <w:szCs w:val="24"/>
        </w:rPr>
      </w:pPr>
      <w:r w:rsidRPr="00880A57">
        <w:rPr>
          <w:sz w:val="24"/>
          <w:szCs w:val="24"/>
        </w:rPr>
        <w:t>**On-Peak kWh are from 2-8 PM weekdays, except holidays.</w:t>
      </w:r>
    </w:p>
    <w:p w14:paraId="59990B7C" w14:textId="77777777" w:rsidR="00E47FCB" w:rsidRDefault="00E47FCB" w:rsidP="00E71DB9">
      <w:pPr>
        <w:rPr>
          <w:sz w:val="24"/>
          <w:szCs w:val="24"/>
        </w:rPr>
      </w:pPr>
    </w:p>
    <w:p w14:paraId="00B1DD4D" w14:textId="74D8953F" w:rsidR="00E71DB9" w:rsidRDefault="00E71DB9" w:rsidP="00E71DB9">
      <w:pPr>
        <w:rPr>
          <w:sz w:val="24"/>
          <w:szCs w:val="24"/>
        </w:rPr>
      </w:pPr>
      <w:r>
        <w:rPr>
          <w:sz w:val="24"/>
          <w:szCs w:val="24"/>
        </w:rPr>
        <w:t>***Line loss % and URT % are included in the above rates.</w:t>
      </w:r>
    </w:p>
    <w:p w14:paraId="33E2820E" w14:textId="13A429C8" w:rsidR="00265B78" w:rsidRDefault="00265B78" w:rsidP="00E71DB9">
      <w:pPr>
        <w:rPr>
          <w:sz w:val="24"/>
          <w:szCs w:val="24"/>
        </w:rPr>
      </w:pPr>
    </w:p>
    <w:p w14:paraId="1BE39734" w14:textId="2D49CA4B" w:rsidR="00265B78" w:rsidRDefault="00265B78" w:rsidP="00E71DB9">
      <w:pPr>
        <w:rPr>
          <w:sz w:val="24"/>
          <w:szCs w:val="24"/>
        </w:rPr>
      </w:pPr>
      <w:r>
        <w:rPr>
          <w:sz w:val="24"/>
          <w:szCs w:val="24"/>
        </w:rPr>
        <w:t>Reference: See Power Supply Rate Worksheet in Rate Schedules folder for details.</w:t>
      </w:r>
    </w:p>
    <w:p w14:paraId="02E27C03" w14:textId="45BC2D9F" w:rsidR="008C4411" w:rsidRDefault="008C4411" w:rsidP="00E71DB9">
      <w:pPr>
        <w:rPr>
          <w:sz w:val="24"/>
          <w:szCs w:val="24"/>
        </w:rPr>
      </w:pPr>
    </w:p>
    <w:p w14:paraId="5F2EFEE2" w14:textId="28F517F1" w:rsidR="008C4411" w:rsidRDefault="008C4411" w:rsidP="00E71DB9">
      <w:pPr>
        <w:rPr>
          <w:sz w:val="24"/>
          <w:szCs w:val="24"/>
        </w:rPr>
      </w:pPr>
    </w:p>
    <w:p w14:paraId="5DA44B58" w14:textId="02EB6429" w:rsidR="008C4411" w:rsidRDefault="008C4411" w:rsidP="00E71DB9">
      <w:pPr>
        <w:rPr>
          <w:sz w:val="24"/>
          <w:szCs w:val="24"/>
        </w:rPr>
      </w:pPr>
    </w:p>
    <w:p w14:paraId="1B6E2FAB" w14:textId="0DC0E5E9" w:rsidR="008C4411" w:rsidRPr="00880A57" w:rsidRDefault="008C4411" w:rsidP="00E71DB9">
      <w:pPr>
        <w:rPr>
          <w:sz w:val="24"/>
          <w:szCs w:val="24"/>
        </w:rPr>
      </w:pPr>
      <w:r>
        <w:rPr>
          <w:sz w:val="24"/>
          <w:szCs w:val="24"/>
        </w:rPr>
        <w:t xml:space="preserve">                                                      ______________________</w:t>
      </w:r>
    </w:p>
    <w:p w14:paraId="3E46DD86" w14:textId="4417D68C" w:rsidR="00E71DB9" w:rsidRDefault="00E71DB9" w:rsidP="00C97E0B">
      <w:pPr>
        <w:tabs>
          <w:tab w:val="left" w:pos="2895"/>
        </w:tabs>
      </w:pPr>
    </w:p>
    <w:p w14:paraId="618E8941" w14:textId="34347EFF" w:rsidR="003F39D5" w:rsidRDefault="003F39D5" w:rsidP="00C97E0B">
      <w:pPr>
        <w:tabs>
          <w:tab w:val="left" w:pos="2895"/>
        </w:tabs>
      </w:pPr>
    </w:p>
    <w:p w14:paraId="5CF8C431" w14:textId="4E8B778C" w:rsidR="003F39D5" w:rsidRDefault="003F39D5" w:rsidP="00C97E0B">
      <w:pPr>
        <w:tabs>
          <w:tab w:val="left" w:pos="2895"/>
        </w:tabs>
      </w:pPr>
    </w:p>
    <w:p w14:paraId="686A4A81" w14:textId="1FB9BA46" w:rsidR="003F39D5" w:rsidRPr="004B71B9" w:rsidRDefault="003F39D5" w:rsidP="003F39D5">
      <w:pPr>
        <w:rPr>
          <w:b/>
          <w:sz w:val="44"/>
          <w:szCs w:val="44"/>
          <w:u w:val="single"/>
        </w:rPr>
      </w:pPr>
      <w:r w:rsidRPr="004B71B9">
        <w:rPr>
          <w:b/>
          <w:sz w:val="44"/>
          <w:szCs w:val="44"/>
          <w:u w:val="single"/>
        </w:rPr>
        <w:t xml:space="preserve">2020 Power Supply Rates </w:t>
      </w:r>
      <w:r w:rsidRPr="004B71B9">
        <w:rPr>
          <w:b/>
          <w:sz w:val="28"/>
          <w:szCs w:val="28"/>
          <w:u w:val="single"/>
        </w:rPr>
        <w:t>(REMC Purchase from Member)</w:t>
      </w:r>
    </w:p>
    <w:p w14:paraId="50B93844" w14:textId="77777777" w:rsidR="003F39D5" w:rsidRPr="004B71B9" w:rsidRDefault="003F39D5" w:rsidP="003F39D5">
      <w:pPr>
        <w:rPr>
          <w:b/>
          <w:sz w:val="32"/>
          <w:szCs w:val="32"/>
        </w:rPr>
      </w:pPr>
    </w:p>
    <w:p w14:paraId="6CB056C7" w14:textId="77777777" w:rsidR="003F39D5" w:rsidRPr="004B71B9" w:rsidRDefault="003F39D5" w:rsidP="003F39D5">
      <w:pPr>
        <w:rPr>
          <w:b/>
          <w:sz w:val="32"/>
          <w:szCs w:val="32"/>
          <w:u w:val="single"/>
        </w:rPr>
      </w:pPr>
      <w:r w:rsidRPr="004B71B9">
        <w:rPr>
          <w:b/>
          <w:sz w:val="32"/>
          <w:szCs w:val="32"/>
          <w:u w:val="single"/>
        </w:rPr>
        <w:t>Power Supply Service</w:t>
      </w:r>
    </w:p>
    <w:p w14:paraId="43FDF479" w14:textId="7384370D" w:rsidR="003F39D5" w:rsidRPr="004B71B9" w:rsidRDefault="003F39D5" w:rsidP="003F39D5">
      <w:pPr>
        <w:rPr>
          <w:sz w:val="32"/>
          <w:szCs w:val="32"/>
        </w:rPr>
      </w:pPr>
      <w:r w:rsidRPr="004B71B9">
        <w:rPr>
          <w:sz w:val="32"/>
          <w:szCs w:val="32"/>
        </w:rPr>
        <w:t>Coincident Peak Demand Charge</w:t>
      </w:r>
      <w:r w:rsidRPr="004B71B9">
        <w:rPr>
          <w:sz w:val="32"/>
          <w:szCs w:val="32"/>
        </w:rPr>
        <w:tab/>
      </w:r>
      <w:r w:rsidRPr="004B71B9">
        <w:rPr>
          <w:sz w:val="32"/>
          <w:szCs w:val="32"/>
        </w:rPr>
        <w:tab/>
      </w:r>
      <w:r w:rsidRPr="004B71B9">
        <w:rPr>
          <w:sz w:val="32"/>
          <w:szCs w:val="32"/>
        </w:rPr>
        <w:tab/>
      </w:r>
      <w:r w:rsidRPr="004B71B9">
        <w:rPr>
          <w:sz w:val="32"/>
          <w:szCs w:val="32"/>
        </w:rPr>
        <w:tab/>
      </w:r>
      <w:r w:rsidR="008C4411" w:rsidRPr="004B71B9">
        <w:rPr>
          <w:sz w:val="32"/>
          <w:szCs w:val="32"/>
        </w:rPr>
        <w:tab/>
      </w:r>
      <w:r w:rsidRPr="004B71B9">
        <w:rPr>
          <w:sz w:val="32"/>
          <w:szCs w:val="32"/>
        </w:rPr>
        <w:t>$      1</w:t>
      </w:r>
      <w:r w:rsidR="008C4411" w:rsidRPr="004B71B9">
        <w:rPr>
          <w:sz w:val="32"/>
          <w:szCs w:val="32"/>
        </w:rPr>
        <w:t>6</w:t>
      </w:r>
      <w:r w:rsidRPr="004B71B9">
        <w:rPr>
          <w:sz w:val="32"/>
          <w:szCs w:val="32"/>
        </w:rPr>
        <w:t>.51</w:t>
      </w:r>
      <w:r w:rsidRPr="004B71B9">
        <w:rPr>
          <w:sz w:val="32"/>
          <w:szCs w:val="32"/>
        </w:rPr>
        <w:tab/>
        <w:t xml:space="preserve"> kW</w:t>
      </w:r>
    </w:p>
    <w:p w14:paraId="00989A41" w14:textId="77777777" w:rsidR="003F39D5" w:rsidRPr="004B71B9" w:rsidRDefault="003F39D5" w:rsidP="003F39D5">
      <w:pPr>
        <w:rPr>
          <w:sz w:val="32"/>
          <w:szCs w:val="32"/>
        </w:rPr>
      </w:pPr>
    </w:p>
    <w:p w14:paraId="79627059" w14:textId="7768DADF" w:rsidR="003F39D5" w:rsidRPr="004B71B9" w:rsidRDefault="003F39D5" w:rsidP="003F39D5">
      <w:pPr>
        <w:rPr>
          <w:sz w:val="32"/>
          <w:szCs w:val="32"/>
        </w:rPr>
      </w:pPr>
      <w:r w:rsidRPr="004B71B9">
        <w:rPr>
          <w:sz w:val="32"/>
          <w:szCs w:val="32"/>
        </w:rPr>
        <w:t>On-Peak kWh Charge</w:t>
      </w:r>
      <w:r w:rsidR="008C4411" w:rsidRPr="004B71B9">
        <w:rPr>
          <w:sz w:val="32"/>
          <w:szCs w:val="32"/>
        </w:rPr>
        <w:tab/>
      </w:r>
      <w:r w:rsidRPr="004B71B9">
        <w:rPr>
          <w:sz w:val="32"/>
          <w:szCs w:val="32"/>
        </w:rPr>
        <w:tab/>
      </w:r>
      <w:r w:rsidRPr="004B71B9">
        <w:rPr>
          <w:sz w:val="32"/>
          <w:szCs w:val="32"/>
        </w:rPr>
        <w:tab/>
      </w:r>
      <w:r w:rsidRPr="004B71B9">
        <w:rPr>
          <w:sz w:val="32"/>
          <w:szCs w:val="32"/>
        </w:rPr>
        <w:tab/>
      </w:r>
      <w:r w:rsidRPr="004B71B9">
        <w:rPr>
          <w:sz w:val="32"/>
          <w:szCs w:val="32"/>
        </w:rPr>
        <w:tab/>
      </w:r>
      <w:r w:rsidRPr="004B71B9">
        <w:rPr>
          <w:sz w:val="32"/>
          <w:szCs w:val="32"/>
        </w:rPr>
        <w:tab/>
      </w:r>
      <w:r w:rsidRPr="004B71B9">
        <w:rPr>
          <w:sz w:val="32"/>
          <w:szCs w:val="32"/>
        </w:rPr>
        <w:tab/>
        <w:t>$0.</w:t>
      </w:r>
      <w:proofErr w:type="gramStart"/>
      <w:r w:rsidRPr="004B71B9">
        <w:rPr>
          <w:sz w:val="32"/>
          <w:szCs w:val="32"/>
        </w:rPr>
        <w:t>05</w:t>
      </w:r>
      <w:r w:rsidR="008C4411" w:rsidRPr="004B71B9">
        <w:rPr>
          <w:sz w:val="32"/>
          <w:szCs w:val="32"/>
        </w:rPr>
        <w:t>2982</w:t>
      </w:r>
      <w:r w:rsidRPr="004B71B9">
        <w:rPr>
          <w:sz w:val="32"/>
          <w:szCs w:val="32"/>
        </w:rPr>
        <w:t xml:space="preserve">  kWh</w:t>
      </w:r>
      <w:proofErr w:type="gramEnd"/>
    </w:p>
    <w:p w14:paraId="507D0423" w14:textId="77777777" w:rsidR="003F39D5" w:rsidRPr="004B71B9" w:rsidRDefault="003F39D5" w:rsidP="003F39D5">
      <w:pPr>
        <w:rPr>
          <w:sz w:val="32"/>
          <w:szCs w:val="32"/>
        </w:rPr>
      </w:pPr>
    </w:p>
    <w:p w14:paraId="67149731" w14:textId="56198D2D" w:rsidR="003F39D5" w:rsidRPr="00880A57" w:rsidRDefault="003F39D5" w:rsidP="003F39D5">
      <w:pPr>
        <w:rPr>
          <w:sz w:val="32"/>
          <w:szCs w:val="32"/>
        </w:rPr>
      </w:pPr>
      <w:r w:rsidRPr="004B71B9">
        <w:rPr>
          <w:sz w:val="32"/>
          <w:szCs w:val="32"/>
        </w:rPr>
        <w:t>Off-Peak kWh Charge</w:t>
      </w:r>
      <w:r w:rsidRPr="004B71B9">
        <w:rPr>
          <w:sz w:val="32"/>
          <w:szCs w:val="32"/>
        </w:rPr>
        <w:tab/>
      </w:r>
      <w:r w:rsidRPr="004B71B9">
        <w:rPr>
          <w:sz w:val="32"/>
          <w:szCs w:val="32"/>
        </w:rPr>
        <w:tab/>
      </w:r>
      <w:r w:rsidRPr="004B71B9">
        <w:rPr>
          <w:sz w:val="32"/>
          <w:szCs w:val="32"/>
        </w:rPr>
        <w:tab/>
      </w:r>
      <w:r w:rsidRPr="004B71B9">
        <w:rPr>
          <w:sz w:val="32"/>
          <w:szCs w:val="32"/>
        </w:rPr>
        <w:tab/>
      </w:r>
      <w:r w:rsidRPr="004B71B9">
        <w:rPr>
          <w:sz w:val="32"/>
          <w:szCs w:val="32"/>
        </w:rPr>
        <w:tab/>
      </w:r>
      <w:r w:rsidRPr="004B71B9">
        <w:rPr>
          <w:sz w:val="32"/>
          <w:szCs w:val="32"/>
        </w:rPr>
        <w:tab/>
      </w:r>
      <w:r w:rsidRPr="004B71B9">
        <w:rPr>
          <w:sz w:val="32"/>
          <w:szCs w:val="32"/>
        </w:rPr>
        <w:tab/>
        <w:t>$0.</w:t>
      </w:r>
      <w:proofErr w:type="gramStart"/>
      <w:r w:rsidRPr="004B71B9">
        <w:rPr>
          <w:sz w:val="32"/>
          <w:szCs w:val="32"/>
        </w:rPr>
        <w:t>04</w:t>
      </w:r>
      <w:r w:rsidR="008C4411" w:rsidRPr="004B71B9">
        <w:rPr>
          <w:sz w:val="32"/>
          <w:szCs w:val="32"/>
        </w:rPr>
        <w:t>2982</w:t>
      </w:r>
      <w:r w:rsidRPr="004B71B9">
        <w:rPr>
          <w:sz w:val="32"/>
          <w:szCs w:val="32"/>
        </w:rPr>
        <w:t xml:space="preserve">  kWh</w:t>
      </w:r>
      <w:proofErr w:type="gramEnd"/>
    </w:p>
    <w:p w14:paraId="57761757" w14:textId="77777777" w:rsidR="003F39D5" w:rsidRPr="00C97E0B" w:rsidRDefault="003F39D5" w:rsidP="00C97E0B">
      <w:pPr>
        <w:tabs>
          <w:tab w:val="left" w:pos="2895"/>
        </w:tabs>
      </w:pPr>
    </w:p>
    <w:sectPr w:rsidR="003F39D5" w:rsidRPr="00C97E0B" w:rsidSect="000D4C21">
      <w:headerReference w:type="default" r:id="rId8"/>
      <w:footerReference w:type="default" r:id="rId9"/>
      <w:pgSz w:w="12240" w:h="15840" w:code="1"/>
      <w:pgMar w:top="1526" w:right="1440" w:bottom="1440" w:left="1440" w:header="72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5A4E" w14:textId="77777777" w:rsidR="001452DF" w:rsidRDefault="001452DF">
      <w:r>
        <w:separator/>
      </w:r>
    </w:p>
  </w:endnote>
  <w:endnote w:type="continuationSeparator" w:id="0">
    <w:p w14:paraId="2C79CF08" w14:textId="77777777" w:rsidR="001452DF" w:rsidRDefault="0014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958A" w14:textId="56B8BF65" w:rsidR="00B07117" w:rsidRDefault="00B07117" w:rsidP="00B07117">
    <w:pPr>
      <w:pStyle w:val="Footer"/>
      <w:tabs>
        <w:tab w:val="clear" w:pos="8640"/>
        <w:tab w:val="right" w:pos="9360"/>
      </w:tabs>
      <w:jc w:val="both"/>
      <w:rPr>
        <w:b/>
        <w:bCs/>
        <w:i/>
        <w:iCs/>
        <w:sz w:val="18"/>
        <w:szCs w:val="24"/>
      </w:rPr>
    </w:pPr>
    <w:r>
      <w:rPr>
        <w:b/>
        <w:bCs/>
        <w:i/>
        <w:iCs/>
        <w:sz w:val="18"/>
        <w:szCs w:val="24"/>
      </w:rPr>
      <w:t xml:space="preserve">Approved by the Noble REMC Board of Directors on </w:t>
    </w:r>
    <w:r w:rsidR="009E7128">
      <w:rPr>
        <w:b/>
        <w:bCs/>
        <w:i/>
        <w:iCs/>
        <w:sz w:val="18"/>
        <w:szCs w:val="24"/>
      </w:rPr>
      <w:t>May 18,</w:t>
    </w:r>
    <w:r w:rsidR="009C7F30">
      <w:rPr>
        <w:b/>
        <w:bCs/>
        <w:i/>
        <w:iCs/>
        <w:sz w:val="18"/>
        <w:szCs w:val="24"/>
      </w:rPr>
      <w:t xml:space="preserve"> 2017</w:t>
    </w:r>
    <w:r>
      <w:rPr>
        <w:b/>
        <w:bCs/>
        <w:i/>
        <w:iCs/>
        <w:sz w:val="18"/>
        <w:szCs w:val="24"/>
      </w:rPr>
      <w:t xml:space="preserve"> to be effective for </w:t>
    </w:r>
    <w:r w:rsidR="009E7128">
      <w:rPr>
        <w:b/>
        <w:bCs/>
        <w:i/>
        <w:iCs/>
        <w:sz w:val="18"/>
        <w:szCs w:val="24"/>
      </w:rPr>
      <w:t xml:space="preserve">May </w:t>
    </w:r>
    <w:r w:rsidR="009C7F30">
      <w:rPr>
        <w:b/>
        <w:bCs/>
        <w:i/>
        <w:iCs/>
        <w:sz w:val="18"/>
        <w:szCs w:val="24"/>
      </w:rPr>
      <w:t>2017</w:t>
    </w:r>
    <w:r>
      <w:rPr>
        <w:b/>
        <w:bCs/>
        <w:i/>
        <w:iCs/>
        <w:sz w:val="18"/>
        <w:szCs w:val="24"/>
      </w:rPr>
      <w:t xml:space="preserve"> electric usage.</w:t>
    </w:r>
  </w:p>
  <w:p w14:paraId="010AA348" w14:textId="670767CE" w:rsidR="005B3B3B" w:rsidRPr="008C4411" w:rsidRDefault="00B40767" w:rsidP="00266176">
    <w:pPr>
      <w:pStyle w:val="Footer"/>
    </w:pPr>
    <w:r w:rsidRPr="00D63F23">
      <w:t xml:space="preserve">Revised by the Noble REMC Board of Directors on </w:t>
    </w:r>
    <w:r w:rsidR="008C4411" w:rsidRPr="004B71B9">
      <w:t>February 20, 2020</w:t>
    </w:r>
  </w:p>
  <w:p w14:paraId="084A6465" w14:textId="77777777" w:rsidR="004B71B9" w:rsidRDefault="004B71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291C2" w14:textId="77777777" w:rsidR="001452DF" w:rsidRDefault="001452DF">
      <w:r>
        <w:separator/>
      </w:r>
    </w:p>
  </w:footnote>
  <w:footnote w:type="continuationSeparator" w:id="0">
    <w:p w14:paraId="0AEBECB1" w14:textId="77777777" w:rsidR="001452DF" w:rsidRDefault="0014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B236" w14:textId="1AE66453" w:rsidR="005B3B3B" w:rsidRDefault="005B3B3B">
    <w:pPr>
      <w:pStyle w:val="Header"/>
      <w:tabs>
        <w:tab w:val="clear" w:pos="8640"/>
        <w:tab w:val="right" w:pos="9360"/>
      </w:tabs>
      <w:rPr>
        <w:sz w:val="20"/>
      </w:rPr>
    </w:pPr>
    <w:r>
      <w:rPr>
        <w:b/>
        <w:bCs/>
        <w:spacing w:val="0"/>
        <w:kern w:val="18"/>
        <w:sz w:val="28"/>
        <w:lang w:bidi="he-IL"/>
      </w:rPr>
      <w:t>Noble County Rural Electric Membership Corporation</w:t>
    </w:r>
    <w:r>
      <w:rPr>
        <w:spacing w:val="0"/>
        <w:kern w:val="18"/>
        <w:sz w:val="20"/>
        <w:lang w:bidi="he-IL"/>
      </w:rPr>
      <w:t xml:space="preserve"> </w:t>
    </w:r>
    <w:r>
      <w:rPr>
        <w:b/>
        <w:bCs/>
        <w:sz w:val="28"/>
      </w:rPr>
      <w:tab/>
    </w:r>
    <w:r>
      <w:rPr>
        <w:sz w:val="20"/>
      </w:rPr>
      <w:t xml:space="preserve">Schedule </w:t>
    </w:r>
    <w:r w:rsidR="00AC2CFE">
      <w:rPr>
        <w:sz w:val="20"/>
      </w:rPr>
      <w:t>LPDG</w:t>
    </w:r>
    <w:r>
      <w:rPr>
        <w:sz w:val="20"/>
      </w:rPr>
      <w:t>-1</w:t>
    </w:r>
  </w:p>
  <w:p w14:paraId="0137788C" w14:textId="2E107803" w:rsidR="005B3B3B" w:rsidRDefault="00BF3736">
    <w:pPr>
      <w:pStyle w:val="Header"/>
      <w:tabs>
        <w:tab w:val="clear" w:pos="8640"/>
        <w:tab w:val="right" w:pos="9360"/>
      </w:tabs>
      <w:rPr>
        <w:b/>
        <w:sz w:val="28"/>
        <w:szCs w:val="28"/>
      </w:rPr>
    </w:pPr>
    <w:r>
      <w:rPr>
        <w:sz w:val="20"/>
      </w:rPr>
      <w:t>Albion, Indiana</w:t>
    </w:r>
    <w:r w:rsidR="005B3B3B">
      <w:tab/>
    </w:r>
    <w:r>
      <w:tab/>
    </w:r>
    <w:r w:rsidR="005B3B3B">
      <w:rPr>
        <w:sz w:val="20"/>
      </w:rPr>
      <w:t xml:space="preserve">Page </w:t>
    </w:r>
    <w:r w:rsidR="005B3B3B">
      <w:rPr>
        <w:rStyle w:val="PageNumber"/>
        <w:sz w:val="20"/>
      </w:rPr>
      <w:fldChar w:fldCharType="begin"/>
    </w:r>
    <w:r w:rsidR="005B3B3B">
      <w:rPr>
        <w:rStyle w:val="PageNumber"/>
        <w:sz w:val="20"/>
      </w:rPr>
      <w:instrText xml:space="preserve"> PAGE </w:instrText>
    </w:r>
    <w:r w:rsidR="005B3B3B">
      <w:rPr>
        <w:rStyle w:val="PageNumber"/>
        <w:sz w:val="20"/>
      </w:rPr>
      <w:fldChar w:fldCharType="separate"/>
    </w:r>
    <w:r w:rsidR="00E71805">
      <w:rPr>
        <w:rStyle w:val="PageNumber"/>
        <w:noProof/>
        <w:sz w:val="20"/>
      </w:rPr>
      <w:t>1</w:t>
    </w:r>
    <w:r w:rsidR="005B3B3B">
      <w:rPr>
        <w:rStyle w:val="PageNumber"/>
        <w:sz w:val="20"/>
      </w:rPr>
      <w:fldChar w:fldCharType="end"/>
    </w:r>
    <w:r w:rsidR="005B3B3B">
      <w:rPr>
        <w:rStyle w:val="PageNumber"/>
        <w:sz w:val="20"/>
      </w:rPr>
      <w:t xml:space="preserve"> of</w:t>
    </w:r>
    <w:r w:rsidR="002C728E">
      <w:rPr>
        <w:rStyle w:val="PageNumber"/>
        <w:sz w:val="20"/>
      </w:rPr>
      <w:t xml:space="preserve">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63449EC"/>
    <w:lvl w:ilvl="0">
      <w:start w:val="1"/>
      <w:numFmt w:val="decimal"/>
      <w:lvlText w:val="%1."/>
      <w:lvlJc w:val="left"/>
      <w:pPr>
        <w:tabs>
          <w:tab w:val="num" w:pos="1080"/>
        </w:tabs>
        <w:ind w:left="1080" w:hanging="360"/>
      </w:pPr>
    </w:lvl>
  </w:abstractNum>
  <w:abstractNum w:abstractNumId="1" w15:restartNumberingAfterBreak="0">
    <w:nsid w:val="FFFFFF83"/>
    <w:multiLevelType w:val="singleLevel"/>
    <w:tmpl w:val="C7CA1D6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140191C"/>
    <w:lvl w:ilvl="0">
      <w:start w:val="1"/>
      <w:numFmt w:val="decimal"/>
      <w:lvlText w:val="%1."/>
      <w:lvlJc w:val="left"/>
      <w:pPr>
        <w:tabs>
          <w:tab w:val="num" w:pos="360"/>
        </w:tabs>
        <w:ind w:left="360" w:hanging="360"/>
      </w:pPr>
    </w:lvl>
  </w:abstractNum>
  <w:abstractNum w:abstractNumId="3" w15:restartNumberingAfterBreak="0">
    <w:nsid w:val="018E5D79"/>
    <w:multiLevelType w:val="hybridMultilevel"/>
    <w:tmpl w:val="50AA0628"/>
    <w:lvl w:ilvl="0" w:tplc="AB3CCDD8">
      <w:start w:val="1"/>
      <w:numFmt w:val="decimal"/>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4A7469"/>
    <w:multiLevelType w:val="hybridMultilevel"/>
    <w:tmpl w:val="4A2CD21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D5837"/>
    <w:multiLevelType w:val="multilevel"/>
    <w:tmpl w:val="38BE19AE"/>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CB229FC"/>
    <w:multiLevelType w:val="hybridMultilevel"/>
    <w:tmpl w:val="EA3E0224"/>
    <w:lvl w:ilvl="0" w:tplc="AB3CCDD8">
      <w:start w:val="1"/>
      <w:numFmt w:val="decimal"/>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350D51"/>
    <w:multiLevelType w:val="singleLevel"/>
    <w:tmpl w:val="FFFFFFFF"/>
    <w:lvl w:ilvl="0">
      <w:start w:val="1"/>
      <w:numFmt w:val="decimal"/>
      <w:pStyle w:val="Heading7"/>
      <w:lvlText w:val="%1"/>
      <w:legacy w:legacy="1" w:legacySpace="0" w:legacyIndent="5040"/>
      <w:lvlJc w:val="left"/>
      <w:rPr>
        <w:rFonts w:ascii="Times New Roman" w:hAnsi="Times New Roman" w:cs="Times New Roman" w:hint="default"/>
        <w:sz w:val="24"/>
        <w:szCs w:val="24"/>
      </w:rPr>
    </w:lvl>
  </w:abstractNum>
  <w:abstractNum w:abstractNumId="8" w15:restartNumberingAfterBreak="0">
    <w:nsid w:val="18EE265F"/>
    <w:multiLevelType w:val="hybridMultilevel"/>
    <w:tmpl w:val="08D8B5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CF0118"/>
    <w:multiLevelType w:val="singleLevel"/>
    <w:tmpl w:val="FFFFFFFF"/>
    <w:lvl w:ilvl="0">
      <w:start w:val="1"/>
      <w:numFmt w:val="decimal"/>
      <w:pStyle w:val="Heading8"/>
      <w:lvlText w:val="%1"/>
      <w:legacy w:legacy="1" w:legacySpace="0" w:legacyIndent="5760"/>
      <w:lvlJc w:val="left"/>
      <w:rPr>
        <w:rFonts w:ascii="Times New Roman" w:hAnsi="Times New Roman" w:cs="Times New Roman" w:hint="default"/>
        <w:sz w:val="24"/>
        <w:szCs w:val="24"/>
      </w:rPr>
    </w:lvl>
  </w:abstractNum>
  <w:abstractNum w:abstractNumId="10" w15:restartNumberingAfterBreak="0">
    <w:nsid w:val="287E2422"/>
    <w:multiLevelType w:val="singleLevel"/>
    <w:tmpl w:val="FFFFFFFF"/>
    <w:lvl w:ilvl="0">
      <w:start w:val="1"/>
      <w:numFmt w:val="decimal"/>
      <w:pStyle w:val="Heading9"/>
      <w:lvlText w:val="%1"/>
      <w:legacy w:legacy="1" w:legacySpace="0" w:legacyIndent="6480"/>
      <w:lvlJc w:val="left"/>
      <w:rPr>
        <w:rFonts w:ascii="Times New Roman" w:hAnsi="Times New Roman" w:cs="Times New Roman" w:hint="default"/>
        <w:sz w:val="24"/>
        <w:szCs w:val="24"/>
      </w:rPr>
    </w:lvl>
  </w:abstractNum>
  <w:abstractNum w:abstractNumId="11" w15:restartNumberingAfterBreak="0">
    <w:nsid w:val="37C12098"/>
    <w:multiLevelType w:val="singleLevel"/>
    <w:tmpl w:val="AB3CCDD8"/>
    <w:lvl w:ilvl="0">
      <w:start w:val="1"/>
      <w:numFmt w:val="decimal"/>
      <w:pStyle w:val="ListNumber"/>
      <w:lvlText w:val="%1."/>
      <w:lvlJc w:val="left"/>
      <w:pPr>
        <w:tabs>
          <w:tab w:val="num" w:pos="1080"/>
        </w:tabs>
        <w:ind w:left="1080" w:hanging="360"/>
      </w:pPr>
      <w:rPr>
        <w:rFonts w:ascii="Times New Roman" w:hAnsi="Times New Roman" w:hint="default"/>
        <w:sz w:val="22"/>
      </w:rPr>
    </w:lvl>
  </w:abstractNum>
  <w:abstractNum w:abstractNumId="12" w15:restartNumberingAfterBreak="0">
    <w:nsid w:val="408310BC"/>
    <w:multiLevelType w:val="multilevel"/>
    <w:tmpl w:val="8C504394"/>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4224125A"/>
    <w:multiLevelType w:val="multilevel"/>
    <w:tmpl w:val="1B2498DE"/>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2BA1761"/>
    <w:multiLevelType w:val="singleLevel"/>
    <w:tmpl w:val="FFFFFFFF"/>
    <w:lvl w:ilvl="0">
      <w:start w:val="1"/>
      <w:numFmt w:val="decimal"/>
      <w:pStyle w:val="Heading6"/>
      <w:lvlText w:val="%1"/>
      <w:legacy w:legacy="1" w:legacySpace="0" w:legacyIndent="4320"/>
      <w:lvlJc w:val="left"/>
      <w:rPr>
        <w:rFonts w:ascii="Times New Roman" w:hAnsi="Times New Roman" w:cs="Times New Roman" w:hint="default"/>
        <w:sz w:val="24"/>
        <w:szCs w:val="24"/>
      </w:rPr>
    </w:lvl>
  </w:abstractNum>
  <w:abstractNum w:abstractNumId="15" w15:restartNumberingAfterBreak="0">
    <w:nsid w:val="43304641"/>
    <w:multiLevelType w:val="hybridMultilevel"/>
    <w:tmpl w:val="C47C69AE"/>
    <w:lvl w:ilvl="0" w:tplc="838C1DA4">
      <w:start w:val="1"/>
      <w:numFmt w:val="decimal"/>
      <w:lvlText w:val="%1."/>
      <w:lvlJc w:val="left"/>
      <w:pPr>
        <w:tabs>
          <w:tab w:val="num" w:pos="720"/>
        </w:tabs>
        <w:ind w:left="720" w:hanging="360"/>
      </w:pPr>
    </w:lvl>
    <w:lvl w:ilvl="1" w:tplc="9A30BA78" w:tentative="1">
      <w:start w:val="1"/>
      <w:numFmt w:val="lowerLetter"/>
      <w:lvlText w:val="%2."/>
      <w:lvlJc w:val="left"/>
      <w:pPr>
        <w:tabs>
          <w:tab w:val="num" w:pos="1440"/>
        </w:tabs>
        <w:ind w:left="1440" w:hanging="360"/>
      </w:pPr>
    </w:lvl>
    <w:lvl w:ilvl="2" w:tplc="254A0A34" w:tentative="1">
      <w:start w:val="1"/>
      <w:numFmt w:val="lowerRoman"/>
      <w:lvlText w:val="%3."/>
      <w:lvlJc w:val="right"/>
      <w:pPr>
        <w:tabs>
          <w:tab w:val="num" w:pos="2160"/>
        </w:tabs>
        <w:ind w:left="2160" w:hanging="180"/>
      </w:pPr>
    </w:lvl>
    <w:lvl w:ilvl="3" w:tplc="C0E4646E" w:tentative="1">
      <w:start w:val="1"/>
      <w:numFmt w:val="decimal"/>
      <w:lvlText w:val="%4."/>
      <w:lvlJc w:val="left"/>
      <w:pPr>
        <w:tabs>
          <w:tab w:val="num" w:pos="2880"/>
        </w:tabs>
        <w:ind w:left="2880" w:hanging="360"/>
      </w:pPr>
    </w:lvl>
    <w:lvl w:ilvl="4" w:tplc="59520604" w:tentative="1">
      <w:start w:val="1"/>
      <w:numFmt w:val="lowerLetter"/>
      <w:lvlText w:val="%5."/>
      <w:lvlJc w:val="left"/>
      <w:pPr>
        <w:tabs>
          <w:tab w:val="num" w:pos="3600"/>
        </w:tabs>
        <w:ind w:left="3600" w:hanging="360"/>
      </w:pPr>
    </w:lvl>
    <w:lvl w:ilvl="5" w:tplc="334E9B18" w:tentative="1">
      <w:start w:val="1"/>
      <w:numFmt w:val="lowerRoman"/>
      <w:lvlText w:val="%6."/>
      <w:lvlJc w:val="right"/>
      <w:pPr>
        <w:tabs>
          <w:tab w:val="num" w:pos="4320"/>
        </w:tabs>
        <w:ind w:left="4320" w:hanging="180"/>
      </w:pPr>
    </w:lvl>
    <w:lvl w:ilvl="6" w:tplc="4CD877C8" w:tentative="1">
      <w:start w:val="1"/>
      <w:numFmt w:val="decimal"/>
      <w:lvlText w:val="%7."/>
      <w:lvlJc w:val="left"/>
      <w:pPr>
        <w:tabs>
          <w:tab w:val="num" w:pos="5040"/>
        </w:tabs>
        <w:ind w:left="5040" w:hanging="360"/>
      </w:pPr>
    </w:lvl>
    <w:lvl w:ilvl="7" w:tplc="8FBCB064" w:tentative="1">
      <w:start w:val="1"/>
      <w:numFmt w:val="lowerLetter"/>
      <w:lvlText w:val="%8."/>
      <w:lvlJc w:val="left"/>
      <w:pPr>
        <w:tabs>
          <w:tab w:val="num" w:pos="5760"/>
        </w:tabs>
        <w:ind w:left="5760" w:hanging="360"/>
      </w:pPr>
    </w:lvl>
    <w:lvl w:ilvl="8" w:tplc="95B49B76" w:tentative="1">
      <w:start w:val="1"/>
      <w:numFmt w:val="lowerRoman"/>
      <w:lvlText w:val="%9."/>
      <w:lvlJc w:val="right"/>
      <w:pPr>
        <w:tabs>
          <w:tab w:val="num" w:pos="6480"/>
        </w:tabs>
        <w:ind w:left="6480" w:hanging="180"/>
      </w:pPr>
    </w:lvl>
  </w:abstractNum>
  <w:abstractNum w:abstractNumId="16" w15:restartNumberingAfterBreak="0">
    <w:nsid w:val="48DD0F7C"/>
    <w:multiLevelType w:val="singleLevel"/>
    <w:tmpl w:val="FFFFFFFF"/>
    <w:lvl w:ilvl="0">
      <w:start w:val="1"/>
      <w:numFmt w:val="decimal"/>
      <w:lvlText w:val="%1"/>
      <w:legacy w:legacy="1" w:legacySpace="0" w:legacyIndent="3600"/>
      <w:lvlJc w:val="left"/>
      <w:rPr>
        <w:rFonts w:ascii="Times New Roman" w:hAnsi="Times New Roman" w:cs="Times New Roman" w:hint="default"/>
        <w:sz w:val="24"/>
        <w:szCs w:val="24"/>
      </w:rPr>
    </w:lvl>
  </w:abstractNum>
  <w:abstractNum w:abstractNumId="17" w15:restartNumberingAfterBreak="0">
    <w:nsid w:val="4B2330FD"/>
    <w:multiLevelType w:val="multilevel"/>
    <w:tmpl w:val="B43E3262"/>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54E05F86"/>
    <w:multiLevelType w:val="hybridMultilevel"/>
    <w:tmpl w:val="A9D24CE4"/>
    <w:lvl w:ilvl="0" w:tplc="AB3CCDD8">
      <w:start w:val="1"/>
      <w:numFmt w:val="decimal"/>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2D5EAC"/>
    <w:multiLevelType w:val="multilevel"/>
    <w:tmpl w:val="A5DA3ED4"/>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5EEF39B4"/>
    <w:multiLevelType w:val="hybridMultilevel"/>
    <w:tmpl w:val="3296E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8D2ED4"/>
    <w:multiLevelType w:val="hybridMultilevel"/>
    <w:tmpl w:val="6866893A"/>
    <w:lvl w:ilvl="0" w:tplc="275C7D98">
      <w:start w:val="1"/>
      <w:numFmt w:val="decimal"/>
      <w:lvlText w:val="%1."/>
      <w:lvlJc w:val="left"/>
      <w:pPr>
        <w:tabs>
          <w:tab w:val="num" w:pos="1080"/>
        </w:tabs>
        <w:ind w:left="1080" w:hanging="360"/>
      </w:pPr>
      <w:rPr>
        <w:rFonts w:ascii="Times New Roman" w:hAnsi="Times New Roman" w:hint="default"/>
        <w:sz w:val="22"/>
      </w:rPr>
    </w:lvl>
    <w:lvl w:ilvl="1" w:tplc="C1602D5E" w:tentative="1">
      <w:start w:val="1"/>
      <w:numFmt w:val="lowerLetter"/>
      <w:lvlText w:val="%2."/>
      <w:lvlJc w:val="left"/>
      <w:pPr>
        <w:tabs>
          <w:tab w:val="num" w:pos="1440"/>
        </w:tabs>
        <w:ind w:left="1440" w:hanging="360"/>
      </w:pPr>
    </w:lvl>
    <w:lvl w:ilvl="2" w:tplc="D17C14C4" w:tentative="1">
      <w:start w:val="1"/>
      <w:numFmt w:val="lowerRoman"/>
      <w:lvlText w:val="%3."/>
      <w:lvlJc w:val="right"/>
      <w:pPr>
        <w:tabs>
          <w:tab w:val="num" w:pos="2160"/>
        </w:tabs>
        <w:ind w:left="2160" w:hanging="180"/>
      </w:pPr>
    </w:lvl>
    <w:lvl w:ilvl="3" w:tplc="1820E202" w:tentative="1">
      <w:start w:val="1"/>
      <w:numFmt w:val="decimal"/>
      <w:lvlText w:val="%4."/>
      <w:lvlJc w:val="left"/>
      <w:pPr>
        <w:tabs>
          <w:tab w:val="num" w:pos="2880"/>
        </w:tabs>
        <w:ind w:left="2880" w:hanging="360"/>
      </w:pPr>
    </w:lvl>
    <w:lvl w:ilvl="4" w:tplc="17D4720A" w:tentative="1">
      <w:start w:val="1"/>
      <w:numFmt w:val="lowerLetter"/>
      <w:lvlText w:val="%5."/>
      <w:lvlJc w:val="left"/>
      <w:pPr>
        <w:tabs>
          <w:tab w:val="num" w:pos="3600"/>
        </w:tabs>
        <w:ind w:left="3600" w:hanging="360"/>
      </w:pPr>
    </w:lvl>
    <w:lvl w:ilvl="5" w:tplc="82A6AAF6" w:tentative="1">
      <w:start w:val="1"/>
      <w:numFmt w:val="lowerRoman"/>
      <w:lvlText w:val="%6."/>
      <w:lvlJc w:val="right"/>
      <w:pPr>
        <w:tabs>
          <w:tab w:val="num" w:pos="4320"/>
        </w:tabs>
        <w:ind w:left="4320" w:hanging="180"/>
      </w:pPr>
    </w:lvl>
    <w:lvl w:ilvl="6" w:tplc="18861D12" w:tentative="1">
      <w:start w:val="1"/>
      <w:numFmt w:val="decimal"/>
      <w:lvlText w:val="%7."/>
      <w:lvlJc w:val="left"/>
      <w:pPr>
        <w:tabs>
          <w:tab w:val="num" w:pos="5040"/>
        </w:tabs>
        <w:ind w:left="5040" w:hanging="360"/>
      </w:pPr>
    </w:lvl>
    <w:lvl w:ilvl="7" w:tplc="A5B2445A" w:tentative="1">
      <w:start w:val="1"/>
      <w:numFmt w:val="lowerLetter"/>
      <w:lvlText w:val="%8."/>
      <w:lvlJc w:val="left"/>
      <w:pPr>
        <w:tabs>
          <w:tab w:val="num" w:pos="5760"/>
        </w:tabs>
        <w:ind w:left="5760" w:hanging="360"/>
      </w:pPr>
    </w:lvl>
    <w:lvl w:ilvl="8" w:tplc="855A6BE4" w:tentative="1">
      <w:start w:val="1"/>
      <w:numFmt w:val="lowerRoman"/>
      <w:lvlText w:val="%9."/>
      <w:lvlJc w:val="right"/>
      <w:pPr>
        <w:tabs>
          <w:tab w:val="num" w:pos="6480"/>
        </w:tabs>
        <w:ind w:left="6480" w:hanging="180"/>
      </w:pPr>
    </w:lvl>
  </w:abstractNum>
  <w:abstractNum w:abstractNumId="22" w15:restartNumberingAfterBreak="0">
    <w:nsid w:val="62331892"/>
    <w:multiLevelType w:val="multilevel"/>
    <w:tmpl w:val="AB66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EA064D"/>
    <w:multiLevelType w:val="hybridMultilevel"/>
    <w:tmpl w:val="526A0F44"/>
    <w:lvl w:ilvl="0" w:tplc="E578E35E">
      <w:start w:val="1"/>
      <w:numFmt w:val="upperRoman"/>
      <w:pStyle w:val="Heading1"/>
      <w:lvlText w:val="%1."/>
      <w:lvlJc w:val="left"/>
      <w:pPr>
        <w:tabs>
          <w:tab w:val="num" w:pos="1080"/>
        </w:tabs>
        <w:ind w:left="720" w:hanging="360"/>
      </w:pPr>
      <w:rPr>
        <w:rFonts w:hint="default"/>
      </w:rPr>
    </w:lvl>
    <w:lvl w:ilvl="1" w:tplc="31FAC50E" w:tentative="1">
      <w:start w:val="1"/>
      <w:numFmt w:val="lowerLetter"/>
      <w:lvlText w:val="%2."/>
      <w:lvlJc w:val="left"/>
      <w:pPr>
        <w:tabs>
          <w:tab w:val="num" w:pos="1440"/>
        </w:tabs>
        <w:ind w:left="1440" w:hanging="360"/>
      </w:pPr>
    </w:lvl>
    <w:lvl w:ilvl="2" w:tplc="249238C4" w:tentative="1">
      <w:start w:val="1"/>
      <w:numFmt w:val="lowerRoman"/>
      <w:lvlText w:val="%3."/>
      <w:lvlJc w:val="right"/>
      <w:pPr>
        <w:tabs>
          <w:tab w:val="num" w:pos="2160"/>
        </w:tabs>
        <w:ind w:left="2160" w:hanging="180"/>
      </w:pPr>
    </w:lvl>
    <w:lvl w:ilvl="3" w:tplc="03E2625E" w:tentative="1">
      <w:start w:val="1"/>
      <w:numFmt w:val="decimal"/>
      <w:lvlText w:val="%4."/>
      <w:lvlJc w:val="left"/>
      <w:pPr>
        <w:tabs>
          <w:tab w:val="num" w:pos="2880"/>
        </w:tabs>
        <w:ind w:left="2880" w:hanging="360"/>
      </w:pPr>
    </w:lvl>
    <w:lvl w:ilvl="4" w:tplc="15D8721E" w:tentative="1">
      <w:start w:val="1"/>
      <w:numFmt w:val="lowerLetter"/>
      <w:lvlText w:val="%5."/>
      <w:lvlJc w:val="left"/>
      <w:pPr>
        <w:tabs>
          <w:tab w:val="num" w:pos="3600"/>
        </w:tabs>
        <w:ind w:left="3600" w:hanging="360"/>
      </w:pPr>
    </w:lvl>
    <w:lvl w:ilvl="5" w:tplc="54DE3D12" w:tentative="1">
      <w:start w:val="1"/>
      <w:numFmt w:val="lowerRoman"/>
      <w:lvlText w:val="%6."/>
      <w:lvlJc w:val="right"/>
      <w:pPr>
        <w:tabs>
          <w:tab w:val="num" w:pos="4320"/>
        </w:tabs>
        <w:ind w:left="4320" w:hanging="180"/>
      </w:pPr>
    </w:lvl>
    <w:lvl w:ilvl="6" w:tplc="35F0C704" w:tentative="1">
      <w:start w:val="1"/>
      <w:numFmt w:val="decimal"/>
      <w:lvlText w:val="%7."/>
      <w:lvlJc w:val="left"/>
      <w:pPr>
        <w:tabs>
          <w:tab w:val="num" w:pos="5040"/>
        </w:tabs>
        <w:ind w:left="5040" w:hanging="360"/>
      </w:pPr>
    </w:lvl>
    <w:lvl w:ilvl="7" w:tplc="8562A662" w:tentative="1">
      <w:start w:val="1"/>
      <w:numFmt w:val="lowerLetter"/>
      <w:lvlText w:val="%8."/>
      <w:lvlJc w:val="left"/>
      <w:pPr>
        <w:tabs>
          <w:tab w:val="num" w:pos="5760"/>
        </w:tabs>
        <w:ind w:left="5760" w:hanging="360"/>
      </w:pPr>
    </w:lvl>
    <w:lvl w:ilvl="8" w:tplc="9A8A3B9C" w:tentative="1">
      <w:start w:val="1"/>
      <w:numFmt w:val="lowerRoman"/>
      <w:lvlText w:val="%9."/>
      <w:lvlJc w:val="right"/>
      <w:pPr>
        <w:tabs>
          <w:tab w:val="num" w:pos="6480"/>
        </w:tabs>
        <w:ind w:left="6480" w:hanging="180"/>
      </w:pPr>
    </w:lvl>
  </w:abstractNum>
  <w:abstractNum w:abstractNumId="24" w15:restartNumberingAfterBreak="0">
    <w:nsid w:val="64C76834"/>
    <w:multiLevelType w:val="hybridMultilevel"/>
    <w:tmpl w:val="C25AAC44"/>
    <w:lvl w:ilvl="0" w:tplc="21EA68D2">
      <w:start w:val="1"/>
      <w:numFmt w:val="decimal"/>
      <w:pStyle w:val="Heading3"/>
      <w:lvlText w:val="%1."/>
      <w:lvlJc w:val="left"/>
      <w:pPr>
        <w:tabs>
          <w:tab w:val="num" w:pos="720"/>
        </w:tabs>
        <w:ind w:left="720" w:hanging="360"/>
      </w:pPr>
      <w:rPr>
        <w:b/>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2ED2F74"/>
    <w:multiLevelType w:val="multilevel"/>
    <w:tmpl w:val="38BE19AE"/>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73A96D29"/>
    <w:multiLevelType w:val="hybridMultilevel"/>
    <w:tmpl w:val="F4FC32E8"/>
    <w:lvl w:ilvl="0" w:tplc="DA9E76CA">
      <w:start w:val="1"/>
      <w:numFmt w:val="bullet"/>
      <w:pStyle w:val="List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BA7E7A"/>
    <w:multiLevelType w:val="hybridMultilevel"/>
    <w:tmpl w:val="86363BFA"/>
    <w:lvl w:ilvl="0" w:tplc="AB3CCDD8">
      <w:start w:val="1"/>
      <w:numFmt w:val="decimal"/>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1805A5"/>
    <w:multiLevelType w:val="hybridMultilevel"/>
    <w:tmpl w:val="9C04D96E"/>
    <w:lvl w:ilvl="0" w:tplc="1A92CCD4">
      <w:start w:val="1"/>
      <w:numFmt w:val="decimal"/>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6C6F5D"/>
    <w:multiLevelType w:val="hybridMultilevel"/>
    <w:tmpl w:val="24AA0CD0"/>
    <w:lvl w:ilvl="0" w:tplc="51906406">
      <w:start w:val="1"/>
      <w:numFmt w:val="decimal"/>
      <w:lvlText w:val="%1."/>
      <w:lvlJc w:val="left"/>
      <w:pPr>
        <w:tabs>
          <w:tab w:val="num" w:pos="1080"/>
        </w:tabs>
        <w:ind w:left="1080" w:hanging="360"/>
      </w:pPr>
      <w:rPr>
        <w:rFonts w:ascii="Times New Roman" w:hAnsi="Times New Roman" w:hint="default"/>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9D77D05"/>
    <w:multiLevelType w:val="hybridMultilevel"/>
    <w:tmpl w:val="5BDC6D1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9603B3"/>
    <w:multiLevelType w:val="hybridMultilevel"/>
    <w:tmpl w:val="9C5C0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14"/>
  </w:num>
  <w:num w:numId="4">
    <w:abstractNumId w:val="7"/>
  </w:num>
  <w:num w:numId="5">
    <w:abstractNumId w:val="9"/>
  </w:num>
  <w:num w:numId="6">
    <w:abstractNumId w:val="10"/>
  </w:num>
  <w:num w:numId="7">
    <w:abstractNumId w:val="11"/>
  </w:num>
  <w:num w:numId="8">
    <w:abstractNumId w:val="26"/>
  </w:num>
  <w:num w:numId="9">
    <w:abstractNumId w:val="28"/>
  </w:num>
  <w:num w:numId="10">
    <w:abstractNumId w:val="29"/>
  </w:num>
  <w:num w:numId="11">
    <w:abstractNumId w:val="21"/>
  </w:num>
  <w:num w:numId="12">
    <w:abstractNumId w:val="6"/>
  </w:num>
  <w:num w:numId="13">
    <w:abstractNumId w:val="3"/>
  </w:num>
  <w:num w:numId="14">
    <w:abstractNumId w:val="23"/>
  </w:num>
  <w:num w:numId="15">
    <w:abstractNumId w:val="15"/>
  </w:num>
  <w:num w:numId="16">
    <w:abstractNumId w:val="24"/>
  </w:num>
  <w:num w:numId="17">
    <w:abstractNumId w:val="19"/>
  </w:num>
  <w:num w:numId="18">
    <w:abstractNumId w:val="0"/>
  </w:num>
  <w:num w:numId="19">
    <w:abstractNumId w:val="12"/>
  </w:num>
  <w:num w:numId="20">
    <w:abstractNumId w:val="24"/>
    <w:lvlOverride w:ilvl="0">
      <w:startOverride w:val="1"/>
    </w:lvlOverride>
  </w:num>
  <w:num w:numId="21">
    <w:abstractNumId w:val="5"/>
  </w:num>
  <w:num w:numId="22">
    <w:abstractNumId w:val="27"/>
  </w:num>
  <w:num w:numId="23">
    <w:abstractNumId w:val="25"/>
  </w:num>
  <w:num w:numId="24">
    <w:abstractNumId w:val="17"/>
  </w:num>
  <w:num w:numId="25">
    <w:abstractNumId w:val="24"/>
    <w:lvlOverride w:ilvl="0">
      <w:startOverride w:val="1"/>
    </w:lvlOverride>
  </w:num>
  <w:num w:numId="26">
    <w:abstractNumId w:val="4"/>
  </w:num>
  <w:num w:numId="27">
    <w:abstractNumId w:val="13"/>
  </w:num>
  <w:num w:numId="28">
    <w:abstractNumId w:val="24"/>
    <w:lvlOverride w:ilvl="0">
      <w:startOverride w:val="1"/>
    </w:lvlOverride>
  </w:num>
  <w:num w:numId="29">
    <w:abstractNumId w:val="31"/>
  </w:num>
  <w:num w:numId="30">
    <w:abstractNumId w:val="2"/>
  </w:num>
  <w:num w:numId="31">
    <w:abstractNumId w:val="18"/>
  </w:num>
  <w:num w:numId="32">
    <w:abstractNumId w:val="8"/>
  </w:num>
  <w:num w:numId="33">
    <w:abstractNumId w:val="22"/>
  </w:num>
  <w:num w:numId="34">
    <w:abstractNumId w:val="23"/>
  </w:num>
  <w:num w:numId="35">
    <w:abstractNumId w:val="30"/>
  </w:num>
  <w:num w:numId="36">
    <w:abstractNumId w:val="23"/>
    <w:lvlOverride w:ilvl="0">
      <w:startOverride w:val="1"/>
    </w:lvlOverride>
  </w:num>
  <w:num w:numId="37">
    <w:abstractNumId w:val="23"/>
    <w:lvlOverride w:ilvl="0">
      <w:startOverride w:val="1"/>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C21"/>
    <w:rsid w:val="00003BE2"/>
    <w:rsid w:val="000331AE"/>
    <w:rsid w:val="000637BE"/>
    <w:rsid w:val="00067DA7"/>
    <w:rsid w:val="0007457E"/>
    <w:rsid w:val="000766FC"/>
    <w:rsid w:val="000A0ADE"/>
    <w:rsid w:val="000B5A5C"/>
    <w:rsid w:val="000D164C"/>
    <w:rsid w:val="000D4C21"/>
    <w:rsid w:val="000D7220"/>
    <w:rsid w:val="000D79DA"/>
    <w:rsid w:val="00133CC5"/>
    <w:rsid w:val="00142F9F"/>
    <w:rsid w:val="001452DF"/>
    <w:rsid w:val="0015699A"/>
    <w:rsid w:val="00166C8C"/>
    <w:rsid w:val="00167963"/>
    <w:rsid w:val="00185655"/>
    <w:rsid w:val="001A2094"/>
    <w:rsid w:val="001B3A3D"/>
    <w:rsid w:val="001C12BE"/>
    <w:rsid w:val="001C2AAB"/>
    <w:rsid w:val="001C4D52"/>
    <w:rsid w:val="001D43FB"/>
    <w:rsid w:val="001E1E2D"/>
    <w:rsid w:val="001F1C61"/>
    <w:rsid w:val="001F22BB"/>
    <w:rsid w:val="001F3376"/>
    <w:rsid w:val="001F4E6B"/>
    <w:rsid w:val="00215F79"/>
    <w:rsid w:val="00222358"/>
    <w:rsid w:val="002260F0"/>
    <w:rsid w:val="00251039"/>
    <w:rsid w:val="00265B78"/>
    <w:rsid w:val="00266176"/>
    <w:rsid w:val="00266A76"/>
    <w:rsid w:val="00284C73"/>
    <w:rsid w:val="00285960"/>
    <w:rsid w:val="00296430"/>
    <w:rsid w:val="002B04D4"/>
    <w:rsid w:val="002C224F"/>
    <w:rsid w:val="002C318C"/>
    <w:rsid w:val="002C6347"/>
    <w:rsid w:val="002C728E"/>
    <w:rsid w:val="002C7657"/>
    <w:rsid w:val="002D1397"/>
    <w:rsid w:val="002E1E3A"/>
    <w:rsid w:val="0031097D"/>
    <w:rsid w:val="00316429"/>
    <w:rsid w:val="00317077"/>
    <w:rsid w:val="00340F3D"/>
    <w:rsid w:val="0035633C"/>
    <w:rsid w:val="00357443"/>
    <w:rsid w:val="00361D3E"/>
    <w:rsid w:val="00364F57"/>
    <w:rsid w:val="0036625B"/>
    <w:rsid w:val="003825EE"/>
    <w:rsid w:val="00384A02"/>
    <w:rsid w:val="0039578D"/>
    <w:rsid w:val="003A0E2B"/>
    <w:rsid w:val="003A1E51"/>
    <w:rsid w:val="003A7190"/>
    <w:rsid w:val="003C0E2C"/>
    <w:rsid w:val="003D350D"/>
    <w:rsid w:val="003D7263"/>
    <w:rsid w:val="003F39D5"/>
    <w:rsid w:val="004075DF"/>
    <w:rsid w:val="0041054F"/>
    <w:rsid w:val="00431613"/>
    <w:rsid w:val="00433AE1"/>
    <w:rsid w:val="0044798B"/>
    <w:rsid w:val="00474352"/>
    <w:rsid w:val="004B71B9"/>
    <w:rsid w:val="004D72F2"/>
    <w:rsid w:val="004E6D85"/>
    <w:rsid w:val="005051A1"/>
    <w:rsid w:val="00505B10"/>
    <w:rsid w:val="00514E3D"/>
    <w:rsid w:val="00522394"/>
    <w:rsid w:val="00532CEF"/>
    <w:rsid w:val="005476E7"/>
    <w:rsid w:val="00555F26"/>
    <w:rsid w:val="0056630E"/>
    <w:rsid w:val="00567553"/>
    <w:rsid w:val="00575B17"/>
    <w:rsid w:val="005848D6"/>
    <w:rsid w:val="0058525A"/>
    <w:rsid w:val="00591156"/>
    <w:rsid w:val="005B289E"/>
    <w:rsid w:val="005B3B3B"/>
    <w:rsid w:val="005C40D2"/>
    <w:rsid w:val="005E311B"/>
    <w:rsid w:val="005E6D10"/>
    <w:rsid w:val="005F53F0"/>
    <w:rsid w:val="005F71C2"/>
    <w:rsid w:val="00603626"/>
    <w:rsid w:val="006053A7"/>
    <w:rsid w:val="00632971"/>
    <w:rsid w:val="00635FF9"/>
    <w:rsid w:val="00636E5B"/>
    <w:rsid w:val="006502D0"/>
    <w:rsid w:val="00660900"/>
    <w:rsid w:val="00667A1A"/>
    <w:rsid w:val="0067284E"/>
    <w:rsid w:val="00675802"/>
    <w:rsid w:val="006B1B77"/>
    <w:rsid w:val="006C2E0A"/>
    <w:rsid w:val="006E76F4"/>
    <w:rsid w:val="006F0784"/>
    <w:rsid w:val="006F1B59"/>
    <w:rsid w:val="00710252"/>
    <w:rsid w:val="00711A2E"/>
    <w:rsid w:val="0071214B"/>
    <w:rsid w:val="007266B3"/>
    <w:rsid w:val="00726EC3"/>
    <w:rsid w:val="007614C3"/>
    <w:rsid w:val="00761D1E"/>
    <w:rsid w:val="0076563F"/>
    <w:rsid w:val="007673F3"/>
    <w:rsid w:val="007725AF"/>
    <w:rsid w:val="007837EC"/>
    <w:rsid w:val="007C312C"/>
    <w:rsid w:val="007D192E"/>
    <w:rsid w:val="007D3382"/>
    <w:rsid w:val="007D397B"/>
    <w:rsid w:val="007D4B5D"/>
    <w:rsid w:val="007E04E1"/>
    <w:rsid w:val="00803575"/>
    <w:rsid w:val="0080511E"/>
    <w:rsid w:val="00832910"/>
    <w:rsid w:val="00837F8B"/>
    <w:rsid w:val="0084453F"/>
    <w:rsid w:val="0085040C"/>
    <w:rsid w:val="00853DB7"/>
    <w:rsid w:val="00854BF5"/>
    <w:rsid w:val="00854EC6"/>
    <w:rsid w:val="0086300C"/>
    <w:rsid w:val="00865B80"/>
    <w:rsid w:val="00877B61"/>
    <w:rsid w:val="00883CED"/>
    <w:rsid w:val="008915CE"/>
    <w:rsid w:val="00895633"/>
    <w:rsid w:val="008A12DE"/>
    <w:rsid w:val="008B0C1F"/>
    <w:rsid w:val="008B0CD1"/>
    <w:rsid w:val="008B2F89"/>
    <w:rsid w:val="008C4411"/>
    <w:rsid w:val="008D5393"/>
    <w:rsid w:val="008E04A2"/>
    <w:rsid w:val="008E73D4"/>
    <w:rsid w:val="008F48C8"/>
    <w:rsid w:val="00902AC5"/>
    <w:rsid w:val="00912C6F"/>
    <w:rsid w:val="00933135"/>
    <w:rsid w:val="00945AFB"/>
    <w:rsid w:val="00964E86"/>
    <w:rsid w:val="00983FE6"/>
    <w:rsid w:val="009A20E2"/>
    <w:rsid w:val="009A62CD"/>
    <w:rsid w:val="009A711A"/>
    <w:rsid w:val="009B2E22"/>
    <w:rsid w:val="009C2611"/>
    <w:rsid w:val="009C7F30"/>
    <w:rsid w:val="009E2C7E"/>
    <w:rsid w:val="009E7128"/>
    <w:rsid w:val="00A16939"/>
    <w:rsid w:val="00A33B32"/>
    <w:rsid w:val="00A33D28"/>
    <w:rsid w:val="00A3614E"/>
    <w:rsid w:val="00A37BDB"/>
    <w:rsid w:val="00A62CE6"/>
    <w:rsid w:val="00A640D7"/>
    <w:rsid w:val="00A823A5"/>
    <w:rsid w:val="00A93942"/>
    <w:rsid w:val="00A96091"/>
    <w:rsid w:val="00AA6A7A"/>
    <w:rsid w:val="00AC242B"/>
    <w:rsid w:val="00AC2CFE"/>
    <w:rsid w:val="00AC7B81"/>
    <w:rsid w:val="00AE1902"/>
    <w:rsid w:val="00AE2DD5"/>
    <w:rsid w:val="00B0198F"/>
    <w:rsid w:val="00B047C2"/>
    <w:rsid w:val="00B07117"/>
    <w:rsid w:val="00B20869"/>
    <w:rsid w:val="00B21850"/>
    <w:rsid w:val="00B25B6D"/>
    <w:rsid w:val="00B377EE"/>
    <w:rsid w:val="00B4073B"/>
    <w:rsid w:val="00B40767"/>
    <w:rsid w:val="00B44B31"/>
    <w:rsid w:val="00B70460"/>
    <w:rsid w:val="00B85125"/>
    <w:rsid w:val="00BA411D"/>
    <w:rsid w:val="00BB2A1B"/>
    <w:rsid w:val="00BC1D19"/>
    <w:rsid w:val="00BE3ABD"/>
    <w:rsid w:val="00BF3723"/>
    <w:rsid w:val="00BF3736"/>
    <w:rsid w:val="00C00054"/>
    <w:rsid w:val="00C31F4D"/>
    <w:rsid w:val="00C376E3"/>
    <w:rsid w:val="00C4718B"/>
    <w:rsid w:val="00C612F8"/>
    <w:rsid w:val="00C67AA9"/>
    <w:rsid w:val="00C72726"/>
    <w:rsid w:val="00C80418"/>
    <w:rsid w:val="00C90E63"/>
    <w:rsid w:val="00C948AE"/>
    <w:rsid w:val="00C97E0B"/>
    <w:rsid w:val="00CD4A93"/>
    <w:rsid w:val="00CE1E68"/>
    <w:rsid w:val="00CE4057"/>
    <w:rsid w:val="00CE675C"/>
    <w:rsid w:val="00D12A8E"/>
    <w:rsid w:val="00D3754E"/>
    <w:rsid w:val="00D63F23"/>
    <w:rsid w:val="00D91EEC"/>
    <w:rsid w:val="00DB2FEF"/>
    <w:rsid w:val="00DB5044"/>
    <w:rsid w:val="00DB6B1E"/>
    <w:rsid w:val="00DE36A2"/>
    <w:rsid w:val="00DF3A8B"/>
    <w:rsid w:val="00E00827"/>
    <w:rsid w:val="00E0170D"/>
    <w:rsid w:val="00E22A9F"/>
    <w:rsid w:val="00E265C7"/>
    <w:rsid w:val="00E26717"/>
    <w:rsid w:val="00E32E42"/>
    <w:rsid w:val="00E33A0D"/>
    <w:rsid w:val="00E47FCB"/>
    <w:rsid w:val="00E553F4"/>
    <w:rsid w:val="00E57199"/>
    <w:rsid w:val="00E71805"/>
    <w:rsid w:val="00E71DB9"/>
    <w:rsid w:val="00E73C25"/>
    <w:rsid w:val="00E7676E"/>
    <w:rsid w:val="00E86F0C"/>
    <w:rsid w:val="00E94A36"/>
    <w:rsid w:val="00ED00CD"/>
    <w:rsid w:val="00EE4138"/>
    <w:rsid w:val="00EE54FE"/>
    <w:rsid w:val="00F04A88"/>
    <w:rsid w:val="00F06DE5"/>
    <w:rsid w:val="00F11A27"/>
    <w:rsid w:val="00F21C95"/>
    <w:rsid w:val="00F27A9C"/>
    <w:rsid w:val="00F51BE8"/>
    <w:rsid w:val="00F56DCA"/>
    <w:rsid w:val="00F638DE"/>
    <w:rsid w:val="00FA63E9"/>
    <w:rsid w:val="00FB327C"/>
    <w:rsid w:val="00FB3EDD"/>
    <w:rsid w:val="00FC684B"/>
    <w:rsid w:val="00FD3A9D"/>
    <w:rsid w:val="00FE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E9AD8"/>
  <w15:docId w15:val="{8CB25880-716F-481B-8297-7E33F48D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kern w:val="18"/>
      <w:sz w:val="22"/>
      <w:lang w:bidi="he-IL"/>
    </w:rPr>
  </w:style>
  <w:style w:type="paragraph" w:styleId="Heading1">
    <w:name w:val="heading 1"/>
    <w:basedOn w:val="Normal"/>
    <w:next w:val="BodyText"/>
    <w:qFormat/>
    <w:rsid w:val="00ED00CD"/>
    <w:pPr>
      <w:keepNext/>
      <w:keepLines/>
      <w:numPr>
        <w:numId w:val="14"/>
      </w:numPr>
      <w:spacing w:before="120" w:after="180"/>
      <w:jc w:val="left"/>
      <w:outlineLvl w:val="0"/>
    </w:pPr>
    <w:rPr>
      <w:b/>
      <w:caps/>
      <w:spacing w:val="20"/>
      <w:kern w:val="20"/>
      <w:sz w:val="24"/>
      <w:u w:val="single"/>
    </w:rPr>
  </w:style>
  <w:style w:type="paragraph" w:styleId="Heading2">
    <w:name w:val="heading 2"/>
    <w:basedOn w:val="Normal"/>
    <w:next w:val="BodyText"/>
    <w:qFormat/>
    <w:pPr>
      <w:keepNext/>
      <w:spacing w:before="120" w:after="60"/>
      <w:ind w:firstLine="360"/>
      <w:outlineLvl w:val="1"/>
    </w:pPr>
    <w:rPr>
      <w:b/>
      <w:bCs/>
      <w:iCs/>
      <w:smallCaps/>
      <w:sz w:val="24"/>
      <w:szCs w:val="28"/>
      <w:u w:val="single"/>
    </w:rPr>
  </w:style>
  <w:style w:type="paragraph" w:styleId="Heading3">
    <w:name w:val="heading 3"/>
    <w:basedOn w:val="Normal"/>
    <w:next w:val="Normal"/>
    <w:qFormat/>
    <w:rsid w:val="00DB2FEF"/>
    <w:pPr>
      <w:keepNext/>
      <w:numPr>
        <w:numId w:val="16"/>
      </w:numPr>
      <w:spacing w:after="120"/>
      <w:jc w:val="left"/>
      <w:outlineLvl w:val="2"/>
    </w:pPr>
    <w:rPr>
      <w:b/>
      <w:kern w:val="0"/>
      <w:sz w:val="24"/>
      <w:lang w:bidi="ar-SA"/>
    </w:rPr>
  </w:style>
  <w:style w:type="paragraph" w:styleId="Heading4">
    <w:name w:val="heading 4"/>
    <w:basedOn w:val="Normal"/>
    <w:link w:val="Heading4Char"/>
    <w:qFormat/>
    <w:rsid w:val="00983FE6"/>
    <w:pPr>
      <w:keepLines/>
      <w:tabs>
        <w:tab w:val="left" w:pos="0"/>
      </w:tabs>
      <w:spacing w:after="120" w:line="240" w:lineRule="exact"/>
      <w:ind w:left="720"/>
      <w:outlineLvl w:val="3"/>
    </w:pPr>
    <w:rPr>
      <w:i/>
      <w:iCs/>
      <w:sz w:val="24"/>
      <w:szCs w:val="24"/>
      <w:u w:val="single"/>
    </w:rPr>
  </w:style>
  <w:style w:type="paragraph" w:styleId="Heading5">
    <w:name w:val="heading 5"/>
    <w:basedOn w:val="Heading4"/>
    <w:link w:val="Heading5Char"/>
    <w:qFormat/>
    <w:rsid w:val="00C72726"/>
    <w:pPr>
      <w:ind w:left="612"/>
      <w:outlineLvl w:val="4"/>
    </w:pPr>
  </w:style>
  <w:style w:type="paragraph" w:styleId="Heading6">
    <w:name w:val="heading 6"/>
    <w:basedOn w:val="Normal"/>
    <w:qFormat/>
    <w:pPr>
      <w:keepLines/>
      <w:numPr>
        <w:numId w:val="3"/>
      </w:numPr>
      <w:tabs>
        <w:tab w:val="left" w:pos="0"/>
        <w:tab w:val="left" w:pos="720"/>
      </w:tabs>
      <w:spacing w:line="240" w:lineRule="exact"/>
      <w:ind w:left="4320" w:hanging="720"/>
      <w:outlineLvl w:val="5"/>
    </w:pPr>
    <w:rPr>
      <w:i/>
      <w:iCs/>
    </w:rPr>
  </w:style>
  <w:style w:type="paragraph" w:styleId="Heading7">
    <w:name w:val="heading 7"/>
    <w:basedOn w:val="Normal"/>
    <w:qFormat/>
    <w:pPr>
      <w:keepLines/>
      <w:numPr>
        <w:numId w:val="4"/>
      </w:numPr>
      <w:tabs>
        <w:tab w:val="left" w:pos="0"/>
        <w:tab w:val="left" w:pos="720"/>
      </w:tabs>
      <w:spacing w:line="240" w:lineRule="exact"/>
      <w:ind w:left="5040" w:hanging="720"/>
      <w:outlineLvl w:val="6"/>
    </w:pPr>
    <w:rPr>
      <w:smallCaps/>
    </w:rPr>
  </w:style>
  <w:style w:type="paragraph" w:styleId="Heading8">
    <w:name w:val="heading 8"/>
    <w:basedOn w:val="Normal"/>
    <w:qFormat/>
    <w:pPr>
      <w:keepLines/>
      <w:numPr>
        <w:numId w:val="5"/>
      </w:numPr>
      <w:tabs>
        <w:tab w:val="left" w:pos="0"/>
        <w:tab w:val="left" w:pos="720"/>
      </w:tabs>
      <w:spacing w:line="240" w:lineRule="exact"/>
      <w:ind w:left="5760" w:hanging="720"/>
      <w:outlineLvl w:val="7"/>
    </w:pPr>
    <w:rPr>
      <w:i/>
      <w:iCs/>
    </w:rPr>
  </w:style>
  <w:style w:type="paragraph" w:styleId="Heading9">
    <w:name w:val="heading 9"/>
    <w:basedOn w:val="Normal"/>
    <w:qFormat/>
    <w:pPr>
      <w:keepLines/>
      <w:numPr>
        <w:numId w:val="6"/>
      </w:numPr>
      <w:tabs>
        <w:tab w:val="left" w:pos="0"/>
        <w:tab w:val="left" w:pos="720"/>
      </w:tabs>
      <w:spacing w:line="240" w:lineRule="exact"/>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Title">
    <w:name w:val="Title"/>
    <w:basedOn w:val="Normal"/>
    <w:qFormat/>
    <w:rsid w:val="00C948AE"/>
    <w:pPr>
      <w:spacing w:before="240" w:after="120"/>
      <w:jc w:val="center"/>
      <w:outlineLvl w:val="0"/>
    </w:pPr>
    <w:rPr>
      <w:b/>
      <w:smallCaps/>
      <w:kern w:val="20"/>
      <w:sz w:val="24"/>
      <w:u w:val="single"/>
    </w:rPr>
  </w:style>
  <w:style w:type="paragraph" w:styleId="Subtitle">
    <w:name w:val="Subtitle"/>
    <w:basedOn w:val="Normal"/>
    <w:qFormat/>
    <w:rsid w:val="005476E7"/>
    <w:pPr>
      <w:spacing w:after="480"/>
      <w:jc w:val="center"/>
      <w:outlineLvl w:val="1"/>
    </w:pPr>
    <w:rPr>
      <w:b/>
      <w:bCs/>
      <w:caps/>
      <w:sz w:val="24"/>
    </w:rPr>
  </w:style>
  <w:style w:type="paragraph" w:styleId="BlockText">
    <w:name w:val="Block Text"/>
    <w:basedOn w:val="Normal"/>
    <w:pPr>
      <w:spacing w:before="120" w:after="120"/>
      <w:ind w:left="1440" w:right="1440"/>
    </w:pPr>
  </w:style>
  <w:style w:type="paragraph" w:styleId="BodyTextFirstIndent">
    <w:name w:val="Body Text First Indent"/>
    <w:basedOn w:val="BodyText"/>
    <w:pPr>
      <w:ind w:firstLine="216"/>
    </w:pPr>
  </w:style>
  <w:style w:type="paragraph" w:styleId="BodyTextIndent">
    <w:name w:val="Body Text Indent"/>
    <w:basedOn w:val="Normal"/>
    <w:pPr>
      <w:spacing w:after="120"/>
      <w:ind w:left="360"/>
    </w:pPr>
  </w:style>
  <w:style w:type="paragraph" w:styleId="Footer">
    <w:name w:val="footer"/>
    <w:basedOn w:val="Normal"/>
    <w:link w:val="FooterChar"/>
    <w:pPr>
      <w:tabs>
        <w:tab w:val="center" w:pos="4320"/>
        <w:tab w:val="right" w:pos="8640"/>
      </w:tabs>
      <w:jc w:val="center"/>
    </w:pPr>
    <w:rPr>
      <w:sz w:val="16"/>
      <w:szCs w:val="16"/>
    </w:rPr>
  </w:style>
  <w:style w:type="paragraph" w:styleId="Header">
    <w:name w:val="header"/>
    <w:basedOn w:val="Normal"/>
    <w:link w:val="HeaderChar"/>
    <w:uiPriority w:val="99"/>
    <w:pPr>
      <w:tabs>
        <w:tab w:val="center" w:pos="4320"/>
        <w:tab w:val="right" w:pos="8640"/>
      </w:tabs>
    </w:pPr>
    <w:rPr>
      <w:spacing w:val="-5"/>
      <w:kern w:val="0"/>
      <w:lang w:bidi="ar-SA"/>
    </w:rPr>
  </w:style>
  <w:style w:type="paragraph" w:styleId="PlainText">
    <w:name w:val="Plain Text"/>
    <w:basedOn w:val="Normal"/>
    <w:rPr>
      <w:rFonts w:ascii="Courier New" w:hAnsi="Courier New"/>
      <w:sz w:val="16"/>
    </w:rPr>
  </w:style>
  <w:style w:type="paragraph" w:styleId="FootnoteText">
    <w:name w:val="footnote text"/>
    <w:basedOn w:val="Normal"/>
    <w:semiHidden/>
    <w:pPr>
      <w:keepLines/>
      <w:spacing w:after="240" w:line="200" w:lineRule="exact"/>
    </w:pPr>
    <w:rPr>
      <w:sz w:val="18"/>
      <w:szCs w:val="18"/>
    </w:rPr>
  </w:style>
  <w:style w:type="paragraph" w:styleId="ListBullet">
    <w:name w:val="List Bullet"/>
    <w:basedOn w:val="Normal"/>
    <w:autoRedefine/>
    <w:pPr>
      <w:widowControl w:val="0"/>
      <w:numPr>
        <w:numId w:val="8"/>
      </w:numPr>
      <w:spacing w:after="120"/>
      <w:ind w:left="720" w:right="720"/>
    </w:pPr>
    <w:rPr>
      <w:snapToGrid w:val="0"/>
      <w:kern w:val="0"/>
      <w:lang w:bidi="ar-SA"/>
    </w:rPr>
  </w:style>
  <w:style w:type="paragraph" w:styleId="EnvelopeAddress">
    <w:name w:val="envelope address"/>
    <w:basedOn w:val="Normal"/>
    <w:pPr>
      <w:framePr w:w="7920" w:h="1980" w:hRule="exact" w:hSpace="180" w:wrap="auto" w:hAnchor="page" w:xAlign="center" w:yAlign="bottom"/>
      <w:ind w:left="2880"/>
    </w:pPr>
    <w:rPr>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left="360"/>
    </w:pPr>
    <w:rPr>
      <w:rFonts w:ascii="Courier New" w:hAnsi="Courier New"/>
      <w:snapToGrid w:val="0"/>
      <w:sz w:val="20"/>
    </w:rPr>
  </w:style>
  <w:style w:type="paragraph" w:styleId="ListBullet2">
    <w:name w:val="List Bullet 2"/>
    <w:basedOn w:val="Normal"/>
    <w:autoRedefine/>
    <w:pPr>
      <w:widowControl w:val="0"/>
      <w:numPr>
        <w:numId w:val="1"/>
      </w:numPr>
      <w:spacing w:after="240"/>
      <w:ind w:right="720"/>
      <w:jc w:val="left"/>
    </w:pPr>
    <w:rPr>
      <w:snapToGrid w:val="0"/>
      <w:kern w:val="0"/>
      <w:sz w:val="24"/>
      <w:lang w:bidi="ar-SA"/>
    </w:rPr>
  </w:style>
  <w:style w:type="character" w:styleId="PageNumber">
    <w:name w:val="page number"/>
    <w:basedOn w:val="DefaultParagraphFont"/>
  </w:style>
  <w:style w:type="paragraph" w:styleId="EndnoteText">
    <w:name w:val="endnote text"/>
    <w:basedOn w:val="Normal"/>
    <w:semiHidden/>
    <w:pPr>
      <w:keepLines/>
      <w:spacing w:after="240" w:line="200" w:lineRule="exact"/>
    </w:pPr>
    <w:rPr>
      <w:sz w:val="18"/>
      <w:szCs w:val="18"/>
    </w:rPr>
  </w:style>
  <w:style w:type="paragraph" w:styleId="ListNumber2">
    <w:name w:val="List Number 2"/>
    <w:basedOn w:val="Normal"/>
    <w:pPr>
      <w:tabs>
        <w:tab w:val="left" w:pos="360"/>
      </w:tabs>
      <w:spacing w:after="120" w:line="240" w:lineRule="exact"/>
      <w:ind w:left="1080" w:right="720" w:hanging="360"/>
    </w:pPr>
  </w:style>
  <w:style w:type="paragraph" w:styleId="BodyTextIndent2">
    <w:name w:val="Body Text Indent 2"/>
    <w:basedOn w:val="Normal"/>
    <w:pPr>
      <w:spacing w:after="120"/>
      <w:ind w:left="720"/>
    </w:pPr>
  </w:style>
  <w:style w:type="paragraph" w:customStyle="1" w:styleId="BodyIndent2">
    <w:name w:val="Body Indent 2"/>
    <w:basedOn w:val="BodyTextIndent"/>
    <w:pPr>
      <w:tabs>
        <w:tab w:val="right" w:pos="9360"/>
      </w:tabs>
      <w:ind w:left="1980"/>
    </w:pPr>
    <w:rPr>
      <w:rFonts w:ascii="Arial" w:hAnsi="Arial"/>
      <w:kern w:val="0"/>
      <w:lang w:bidi="ar-SA"/>
    </w:rPr>
  </w:style>
  <w:style w:type="paragraph" w:customStyle="1" w:styleId="BodyIndent1">
    <w:name w:val="Body Indent 1"/>
    <w:basedOn w:val="BodyTextIndent"/>
    <w:pPr>
      <w:tabs>
        <w:tab w:val="right" w:pos="9360"/>
      </w:tabs>
      <w:ind w:left="1620"/>
    </w:pPr>
    <w:rPr>
      <w:rFonts w:ascii="Arial" w:hAnsi="Arial"/>
      <w:kern w:val="0"/>
      <w:lang w:bidi="ar-SA"/>
    </w:rPr>
  </w:style>
  <w:style w:type="character" w:styleId="EndnoteReference">
    <w:name w:val="endnote reference"/>
    <w:semiHidden/>
    <w:rPr>
      <w:vertAlign w:val="superscript"/>
    </w:rPr>
  </w:style>
  <w:style w:type="paragraph" w:styleId="Index1">
    <w:name w:val="index 1"/>
    <w:basedOn w:val="Normal"/>
    <w:autoRedefine/>
    <w:semiHidden/>
    <w:pPr>
      <w:tabs>
        <w:tab w:val="left" w:pos="360"/>
      </w:tabs>
      <w:spacing w:line="240" w:lineRule="exact"/>
      <w:ind w:left="360" w:hanging="360"/>
    </w:pPr>
    <w:rPr>
      <w:sz w:val="21"/>
      <w:szCs w:val="21"/>
    </w:rPr>
  </w:style>
  <w:style w:type="paragraph" w:styleId="Index2">
    <w:name w:val="index 2"/>
    <w:basedOn w:val="Normal"/>
    <w:autoRedefine/>
    <w:semiHidden/>
    <w:pPr>
      <w:tabs>
        <w:tab w:val="left" w:pos="360"/>
      </w:tabs>
      <w:ind w:left="360" w:hanging="240"/>
    </w:pPr>
    <w:rPr>
      <w:sz w:val="21"/>
      <w:szCs w:val="21"/>
    </w:rPr>
  </w:style>
  <w:style w:type="paragraph" w:styleId="Index3">
    <w:name w:val="index 3"/>
    <w:basedOn w:val="Normal"/>
    <w:autoRedefine/>
    <w:semiHidden/>
    <w:pPr>
      <w:tabs>
        <w:tab w:val="left" w:pos="360"/>
        <w:tab w:val="left" w:pos="480"/>
      </w:tabs>
      <w:ind w:left="480" w:hanging="240"/>
    </w:pPr>
    <w:rPr>
      <w:sz w:val="21"/>
      <w:szCs w:val="21"/>
    </w:rPr>
  </w:style>
  <w:style w:type="paragraph" w:styleId="Index4">
    <w:name w:val="index 4"/>
    <w:basedOn w:val="Normal"/>
    <w:autoRedefine/>
    <w:semiHidden/>
    <w:pPr>
      <w:tabs>
        <w:tab w:val="left" w:pos="360"/>
        <w:tab w:val="left" w:pos="600"/>
      </w:tabs>
      <w:ind w:left="600" w:hanging="240"/>
    </w:pPr>
    <w:rPr>
      <w:sz w:val="21"/>
      <w:szCs w:val="21"/>
    </w:rPr>
  </w:style>
  <w:style w:type="paragraph" w:styleId="Index5">
    <w:name w:val="index 5"/>
    <w:basedOn w:val="Normal"/>
    <w:autoRedefine/>
    <w:semiHidden/>
    <w:pPr>
      <w:tabs>
        <w:tab w:val="left" w:pos="360"/>
        <w:tab w:val="left" w:pos="840"/>
      </w:tabs>
      <w:ind w:left="840" w:hanging="360"/>
    </w:pPr>
    <w:rPr>
      <w:sz w:val="21"/>
      <w:szCs w:val="21"/>
    </w:rPr>
  </w:style>
  <w:style w:type="paragraph" w:styleId="Index6">
    <w:name w:val="index 6"/>
    <w:basedOn w:val="Normal"/>
    <w:autoRedefine/>
    <w:semiHidden/>
    <w:pPr>
      <w:tabs>
        <w:tab w:val="left" w:pos="360"/>
        <w:tab w:val="left" w:pos="960"/>
        <w:tab w:val="right" w:leader="dot" w:pos="3600"/>
      </w:tabs>
      <w:spacing w:line="240" w:lineRule="exact"/>
      <w:ind w:left="960" w:hanging="160"/>
    </w:pPr>
    <w:rPr>
      <w:sz w:val="21"/>
      <w:szCs w:val="21"/>
    </w:rPr>
  </w:style>
  <w:style w:type="paragraph" w:styleId="Index7">
    <w:name w:val="index 7"/>
    <w:basedOn w:val="Normal"/>
    <w:autoRedefine/>
    <w:semiHidden/>
    <w:pPr>
      <w:tabs>
        <w:tab w:val="left" w:pos="360"/>
        <w:tab w:val="left" w:pos="1120"/>
        <w:tab w:val="right" w:leader="dot" w:pos="3600"/>
      </w:tabs>
      <w:spacing w:line="240" w:lineRule="exact"/>
      <w:ind w:left="1120" w:hanging="160"/>
    </w:pPr>
    <w:rPr>
      <w:sz w:val="21"/>
      <w:szCs w:val="21"/>
    </w:rPr>
  </w:style>
  <w:style w:type="paragraph" w:styleId="Index8">
    <w:name w:val="index 8"/>
    <w:basedOn w:val="Normal"/>
    <w:autoRedefine/>
    <w:semiHidden/>
    <w:pPr>
      <w:tabs>
        <w:tab w:val="left" w:pos="1280"/>
        <w:tab w:val="right" w:leader="dot" w:pos="3600"/>
      </w:tabs>
      <w:ind w:left="1280" w:hanging="160"/>
    </w:pPr>
  </w:style>
  <w:style w:type="paragraph" w:styleId="TOC1">
    <w:name w:val="toc 1"/>
    <w:basedOn w:val="Normal"/>
    <w:autoRedefine/>
    <w:semiHidden/>
    <w:pPr>
      <w:tabs>
        <w:tab w:val="right" w:leader="dot" w:pos="5040"/>
      </w:tabs>
      <w:spacing w:after="240" w:line="240" w:lineRule="exact"/>
    </w:pPr>
  </w:style>
  <w:style w:type="paragraph" w:styleId="TOC2">
    <w:name w:val="toc 2"/>
    <w:basedOn w:val="Normal"/>
    <w:autoRedefine/>
    <w:semiHidden/>
    <w:pPr>
      <w:tabs>
        <w:tab w:val="right" w:leader="dot" w:pos="5040"/>
      </w:tabs>
      <w:spacing w:after="240" w:line="240" w:lineRule="exact"/>
    </w:pPr>
  </w:style>
  <w:style w:type="paragraph" w:styleId="TOC3">
    <w:name w:val="toc 3"/>
    <w:basedOn w:val="Normal"/>
    <w:autoRedefine/>
    <w:semiHidden/>
    <w:pPr>
      <w:tabs>
        <w:tab w:val="right" w:leader="dot" w:pos="5040"/>
      </w:tabs>
      <w:spacing w:after="240" w:line="240" w:lineRule="exact"/>
    </w:pPr>
    <w:rPr>
      <w:i/>
      <w:iCs/>
    </w:rPr>
  </w:style>
  <w:style w:type="paragraph" w:styleId="TOC4">
    <w:name w:val="toc 4"/>
    <w:basedOn w:val="Normal"/>
    <w:autoRedefine/>
    <w:semiHidden/>
    <w:pPr>
      <w:tabs>
        <w:tab w:val="right" w:leader="dot" w:pos="5040"/>
      </w:tabs>
      <w:spacing w:after="240" w:line="240" w:lineRule="exact"/>
    </w:pPr>
    <w:rPr>
      <w:i/>
      <w:iCs/>
    </w:rPr>
  </w:style>
  <w:style w:type="paragraph" w:styleId="TOC5">
    <w:name w:val="toc 5"/>
    <w:basedOn w:val="Normal"/>
    <w:autoRedefine/>
    <w:semiHidden/>
    <w:pPr>
      <w:tabs>
        <w:tab w:val="right" w:leader="dot" w:pos="5040"/>
      </w:tabs>
      <w:spacing w:after="240" w:line="240" w:lineRule="exact"/>
    </w:pPr>
    <w:rPr>
      <w:i/>
      <w:iCs/>
    </w:rPr>
  </w:style>
  <w:style w:type="paragraph" w:styleId="TOC6">
    <w:name w:val="toc 6"/>
    <w:basedOn w:val="Normal"/>
    <w:autoRedefine/>
    <w:semiHidden/>
    <w:pPr>
      <w:tabs>
        <w:tab w:val="right" w:leader="dot" w:pos="3600"/>
      </w:tabs>
      <w:ind w:left="800"/>
    </w:pPr>
  </w:style>
  <w:style w:type="paragraph" w:styleId="TOC7">
    <w:name w:val="toc 7"/>
    <w:basedOn w:val="Normal"/>
    <w:autoRedefine/>
    <w:semiHidden/>
    <w:pPr>
      <w:tabs>
        <w:tab w:val="right" w:leader="dot" w:pos="3600"/>
      </w:tabs>
      <w:ind w:left="960"/>
    </w:pPr>
  </w:style>
  <w:style w:type="paragraph" w:styleId="TOC8">
    <w:name w:val="toc 8"/>
    <w:basedOn w:val="Normal"/>
    <w:autoRedefine/>
    <w:semiHidden/>
    <w:pPr>
      <w:tabs>
        <w:tab w:val="right" w:leader="dot" w:pos="3600"/>
      </w:tabs>
      <w:ind w:left="1120"/>
    </w:pPr>
  </w:style>
  <w:style w:type="paragraph" w:styleId="TOC9">
    <w:name w:val="toc 9"/>
    <w:basedOn w:val="Normal"/>
    <w:autoRedefine/>
    <w:semiHidden/>
    <w:pPr>
      <w:tabs>
        <w:tab w:val="right" w:leader="dot" w:pos="3600"/>
      </w:tabs>
      <w:ind w:left="1280"/>
    </w:pPr>
  </w:style>
  <w:style w:type="paragraph" w:styleId="NormalIndent">
    <w:name w:val="Normal Indent"/>
    <w:basedOn w:val="Normal"/>
    <w:pPr>
      <w:ind w:left="720"/>
    </w:pPr>
  </w:style>
  <w:style w:type="paragraph" w:styleId="IndexHeading">
    <w:name w:val="index heading"/>
    <w:basedOn w:val="Normal"/>
    <w:semiHidden/>
    <w:pPr>
      <w:keepLines/>
      <w:spacing w:line="480" w:lineRule="exact"/>
    </w:pPr>
    <w:rPr>
      <w:sz w:val="28"/>
      <w:szCs w:val="28"/>
    </w:rPr>
  </w:style>
  <w:style w:type="paragraph" w:styleId="Caption">
    <w:name w:val="caption"/>
    <w:basedOn w:val="Normal"/>
    <w:qFormat/>
    <w:pPr>
      <w:keepLines/>
      <w:tabs>
        <w:tab w:val="left" w:pos="1920"/>
      </w:tabs>
      <w:spacing w:before="60" w:after="240" w:line="200" w:lineRule="exact"/>
      <w:ind w:left="1920" w:hanging="120"/>
    </w:pPr>
    <w:rPr>
      <w:i/>
      <w:iCs/>
      <w:sz w:val="20"/>
    </w:rPr>
  </w:style>
  <w:style w:type="paragraph" w:styleId="TableofFigures">
    <w:name w:val="table of figures"/>
    <w:basedOn w:val="Normal"/>
    <w:semiHidden/>
    <w:pPr>
      <w:tabs>
        <w:tab w:val="right" w:leader="dot" w:pos="5040"/>
      </w:tabs>
      <w:spacing w:after="240" w:line="240" w:lineRule="exact"/>
    </w:pPr>
  </w:style>
  <w:style w:type="character" w:styleId="FootnoteReference">
    <w:name w:val="footnote reference"/>
    <w:semiHidden/>
    <w:rPr>
      <w:vertAlign w:val="superscript"/>
    </w:rPr>
  </w:style>
  <w:style w:type="character" w:styleId="LineNumber">
    <w:name w:val="line number"/>
    <w:rPr>
      <w:sz w:val="18"/>
      <w:szCs w:val="18"/>
    </w:rPr>
  </w:style>
  <w:style w:type="paragraph" w:styleId="TableofAuthorities">
    <w:name w:val="table of authorities"/>
    <w:basedOn w:val="Normal"/>
    <w:semiHidden/>
    <w:pPr>
      <w:tabs>
        <w:tab w:val="right" w:leader="dot" w:pos="7560"/>
      </w:tabs>
    </w:pPr>
  </w:style>
  <w:style w:type="paragraph" w:styleId="MacroText">
    <w:name w:val="macro"/>
    <w:basedOn w:val="Normal"/>
    <w:semiHidden/>
    <w:pPr>
      <w:spacing w:after="240"/>
      <w:ind w:firstLine="360"/>
    </w:pPr>
    <w:rPr>
      <w:rFonts w:ascii="Courier New" w:hAnsi="Courier New" w:cs="Courier New"/>
    </w:rPr>
  </w:style>
  <w:style w:type="paragraph" w:styleId="TOAHeading">
    <w:name w:val="toa heading"/>
    <w:basedOn w:val="Normal"/>
    <w:semiHidden/>
    <w:pPr>
      <w:keepLines/>
      <w:spacing w:line="720" w:lineRule="exact"/>
    </w:pPr>
    <w:rPr>
      <w:caps/>
    </w:rPr>
  </w:style>
  <w:style w:type="paragraph" w:styleId="List">
    <w:name w:val="List"/>
    <w:basedOn w:val="Normal"/>
    <w:pPr>
      <w:ind w:left="360" w:hanging="360"/>
    </w:pPr>
  </w:style>
  <w:style w:type="paragraph" w:styleId="List2">
    <w:name w:val="List 2"/>
    <w:basedOn w:val="Normal"/>
    <w:pPr>
      <w:tabs>
        <w:tab w:val="left" w:pos="360"/>
        <w:tab w:val="left" w:pos="720"/>
      </w:tabs>
      <w:spacing w:after="240" w:line="240" w:lineRule="exact"/>
      <w:ind w:left="720" w:hanging="360"/>
    </w:pPr>
  </w:style>
  <w:style w:type="paragraph" w:styleId="List3">
    <w:name w:val="List 3"/>
    <w:basedOn w:val="Normal"/>
    <w:pPr>
      <w:tabs>
        <w:tab w:val="left" w:pos="360"/>
        <w:tab w:val="left" w:pos="1080"/>
      </w:tabs>
      <w:spacing w:after="240" w:line="240" w:lineRule="exact"/>
      <w:ind w:left="1080" w:hanging="360"/>
    </w:pPr>
  </w:style>
  <w:style w:type="paragraph" w:styleId="List4">
    <w:name w:val="List 4"/>
    <w:basedOn w:val="Normal"/>
    <w:pPr>
      <w:tabs>
        <w:tab w:val="left" w:pos="360"/>
        <w:tab w:val="left" w:pos="1440"/>
      </w:tabs>
      <w:spacing w:after="240" w:line="240" w:lineRule="exact"/>
      <w:ind w:left="1440" w:hanging="360"/>
    </w:pPr>
  </w:style>
  <w:style w:type="paragraph" w:styleId="List5">
    <w:name w:val="List 5"/>
    <w:basedOn w:val="Normal"/>
    <w:pPr>
      <w:tabs>
        <w:tab w:val="left" w:pos="360"/>
        <w:tab w:val="left" w:pos="1800"/>
      </w:tabs>
      <w:spacing w:after="240" w:line="240" w:lineRule="exact"/>
      <w:ind w:left="1800" w:hanging="360"/>
    </w:pPr>
  </w:style>
  <w:style w:type="paragraph" w:styleId="ListBullet3">
    <w:name w:val="List Bullet 3"/>
    <w:basedOn w:val="Normal"/>
    <w:autoRedefine/>
    <w:pPr>
      <w:tabs>
        <w:tab w:val="left" w:pos="360"/>
      </w:tabs>
      <w:spacing w:after="240" w:line="240" w:lineRule="exact"/>
      <w:ind w:left="1440" w:right="720" w:hanging="360"/>
    </w:pPr>
  </w:style>
  <w:style w:type="paragraph" w:styleId="ListBullet4">
    <w:name w:val="List Bullet 4"/>
    <w:basedOn w:val="Normal"/>
    <w:autoRedefine/>
    <w:pPr>
      <w:tabs>
        <w:tab w:val="left" w:pos="360"/>
      </w:tabs>
      <w:spacing w:after="240" w:line="240" w:lineRule="exact"/>
      <w:ind w:left="1800" w:right="720" w:hanging="360"/>
    </w:pPr>
  </w:style>
  <w:style w:type="paragraph" w:styleId="ListBullet5">
    <w:name w:val="List Bullet 5"/>
    <w:basedOn w:val="Normal"/>
    <w:autoRedefine/>
    <w:pPr>
      <w:tabs>
        <w:tab w:val="left" w:pos="360"/>
      </w:tabs>
      <w:spacing w:after="240" w:line="240" w:lineRule="exact"/>
      <w:ind w:left="2160" w:right="720" w:hanging="360"/>
    </w:pPr>
  </w:style>
  <w:style w:type="paragraph" w:styleId="ListNumber">
    <w:name w:val="List Number"/>
    <w:basedOn w:val="Normal"/>
    <w:pPr>
      <w:numPr>
        <w:numId w:val="7"/>
      </w:numPr>
      <w:spacing w:after="120" w:line="240" w:lineRule="exact"/>
      <w:ind w:right="720"/>
      <w:outlineLvl w:val="0"/>
    </w:pPr>
  </w:style>
  <w:style w:type="paragraph" w:styleId="ListNumber3">
    <w:name w:val="List Number 3"/>
    <w:basedOn w:val="Normal"/>
    <w:pPr>
      <w:tabs>
        <w:tab w:val="left" w:pos="360"/>
      </w:tabs>
      <w:spacing w:after="240" w:line="240" w:lineRule="exact"/>
      <w:ind w:left="1440" w:right="720" w:hanging="360"/>
    </w:pPr>
  </w:style>
  <w:style w:type="paragraph" w:styleId="ListNumber4">
    <w:name w:val="List Number 4"/>
    <w:basedOn w:val="Normal"/>
    <w:pPr>
      <w:tabs>
        <w:tab w:val="left" w:pos="360"/>
      </w:tabs>
      <w:spacing w:after="240" w:line="240" w:lineRule="exact"/>
      <w:ind w:left="1800" w:right="720" w:hanging="360"/>
    </w:pPr>
  </w:style>
  <w:style w:type="paragraph" w:styleId="ListNumber5">
    <w:name w:val="List Number 5"/>
    <w:basedOn w:val="Normal"/>
    <w:pPr>
      <w:tabs>
        <w:tab w:val="left" w:pos="360"/>
      </w:tabs>
      <w:spacing w:after="240" w:line="240" w:lineRule="exact"/>
      <w:ind w:left="2160" w:right="720" w:hanging="360"/>
    </w:pPr>
  </w:style>
  <w:style w:type="paragraph" w:styleId="ListContinue">
    <w:name w:val="List Continue"/>
    <w:basedOn w:val="Normal"/>
    <w:pPr>
      <w:tabs>
        <w:tab w:val="left" w:pos="360"/>
      </w:tabs>
      <w:spacing w:after="240" w:line="240" w:lineRule="exact"/>
      <w:ind w:left="720" w:right="720"/>
    </w:pPr>
  </w:style>
  <w:style w:type="paragraph" w:styleId="ListContinue2">
    <w:name w:val="List Continue 2"/>
    <w:basedOn w:val="Normal"/>
    <w:pPr>
      <w:tabs>
        <w:tab w:val="left" w:pos="360"/>
      </w:tabs>
      <w:spacing w:after="240" w:line="240" w:lineRule="exact"/>
      <w:ind w:left="1080" w:right="720"/>
    </w:pPr>
  </w:style>
  <w:style w:type="paragraph" w:styleId="ListContinue3">
    <w:name w:val="List Continue 3"/>
    <w:basedOn w:val="Normal"/>
    <w:pPr>
      <w:tabs>
        <w:tab w:val="left" w:pos="360"/>
      </w:tabs>
      <w:spacing w:after="240" w:line="240" w:lineRule="exact"/>
      <w:ind w:left="1440" w:right="720"/>
    </w:pPr>
  </w:style>
  <w:style w:type="paragraph" w:styleId="ListContinue4">
    <w:name w:val="List Continue 4"/>
    <w:basedOn w:val="Normal"/>
    <w:pPr>
      <w:tabs>
        <w:tab w:val="left" w:pos="360"/>
      </w:tabs>
      <w:spacing w:after="240" w:line="240" w:lineRule="exact"/>
      <w:ind w:left="1800" w:right="720"/>
    </w:pPr>
  </w:style>
  <w:style w:type="paragraph" w:styleId="ListContinue5">
    <w:name w:val="List Continue 5"/>
    <w:basedOn w:val="Normal"/>
    <w:pPr>
      <w:tabs>
        <w:tab w:val="left" w:pos="360"/>
      </w:tabs>
      <w:spacing w:after="240" w:line="240" w:lineRule="exact"/>
      <w:ind w:left="2160" w:right="720"/>
    </w:pPr>
  </w:style>
  <w:style w:type="paragraph" w:styleId="MessageHeader">
    <w:name w:val="Message Header"/>
    <w:basedOn w:val="Normal"/>
    <w:pPr>
      <w:keepLines/>
      <w:tabs>
        <w:tab w:val="left" w:pos="0"/>
        <w:tab w:val="left" w:pos="3600"/>
        <w:tab w:val="left" w:pos="4680"/>
      </w:tabs>
      <w:spacing w:after="120" w:line="280" w:lineRule="exact"/>
      <w:ind w:right="2160" w:hanging="1080"/>
    </w:pPr>
  </w:style>
  <w:style w:type="paragraph" w:customStyle="1" w:styleId="Footnote">
    <w:name w:val="Footnote"/>
    <w:basedOn w:val="Normal"/>
    <w:rPr>
      <w:sz w:val="24"/>
      <w:szCs w:val="24"/>
    </w:rPr>
  </w:style>
  <w:style w:type="paragraph" w:customStyle="1" w:styleId="ChapterSubtitle">
    <w:name w:val="Chapter Subtitle"/>
    <w:basedOn w:val="Normal"/>
    <w:pPr>
      <w:keepLines/>
      <w:spacing w:before="140" w:after="420"/>
      <w:jc w:val="center"/>
    </w:pPr>
    <w:rPr>
      <w:smallCaps/>
      <w:sz w:val="27"/>
      <w:szCs w:val="27"/>
    </w:rPr>
  </w:style>
  <w:style w:type="paragraph" w:customStyle="1" w:styleId="SubtitleCover">
    <w:name w:val="Subtitle Cover"/>
    <w:basedOn w:val="Normal"/>
    <w:pPr>
      <w:keepLines/>
      <w:pBdr>
        <w:top w:val="single" w:sz="6" w:space="0" w:color="auto"/>
      </w:pBdr>
      <w:spacing w:line="440" w:lineRule="exact"/>
      <w:jc w:val="center"/>
    </w:pPr>
    <w:rPr>
      <w:smallCaps/>
      <w:sz w:val="44"/>
      <w:szCs w:val="44"/>
    </w:rPr>
  </w:style>
  <w:style w:type="paragraph" w:customStyle="1" w:styleId="SectionHeading">
    <w:name w:val="Section Heading"/>
    <w:basedOn w:val="Normal"/>
    <w:pPr>
      <w:keepLines/>
      <w:tabs>
        <w:tab w:val="left" w:pos="720"/>
      </w:tabs>
      <w:spacing w:after="240" w:line="240" w:lineRule="exact"/>
      <w:ind w:left="720" w:hanging="720"/>
    </w:pPr>
    <w:rPr>
      <w:rFonts w:ascii="Arial Black" w:hAnsi="Arial Black"/>
      <w:b/>
      <w:bCs/>
      <w:caps/>
    </w:rPr>
  </w:style>
  <w:style w:type="paragraph" w:customStyle="1" w:styleId="PartTitle">
    <w:name w:val="Part Title"/>
    <w:basedOn w:val="Normal"/>
    <w:pPr>
      <w:keepLines/>
      <w:spacing w:before="140"/>
      <w:jc w:val="center"/>
    </w:pPr>
    <w:rPr>
      <w:caps/>
      <w:sz w:val="44"/>
      <w:szCs w:val="44"/>
    </w:rPr>
  </w:style>
  <w:style w:type="paragraph" w:customStyle="1" w:styleId="PartLabel">
    <w:name w:val="Part Label"/>
    <w:basedOn w:val="Normal"/>
    <w:pPr>
      <w:keepLines/>
      <w:pBdr>
        <w:bottom w:val="single" w:sz="6" w:space="0" w:color="auto"/>
      </w:pBdr>
      <w:spacing w:after="720" w:line="240" w:lineRule="exact"/>
      <w:jc w:val="center"/>
    </w:pPr>
    <w:rPr>
      <w:caps/>
      <w:sz w:val="48"/>
      <w:szCs w:val="48"/>
    </w:rPr>
  </w:style>
  <w:style w:type="paragraph" w:customStyle="1" w:styleId="HeaderOdd">
    <w:name w:val="Header Odd"/>
    <w:basedOn w:val="Normal"/>
    <w:pPr>
      <w:keepLines/>
      <w:tabs>
        <w:tab w:val="center" w:pos="4320"/>
        <w:tab w:val="right" w:pos="8640"/>
      </w:tabs>
      <w:spacing w:after="480" w:line="240" w:lineRule="exact"/>
      <w:jc w:val="center"/>
    </w:pPr>
    <w:rPr>
      <w:smallCaps/>
      <w:sz w:val="28"/>
      <w:szCs w:val="28"/>
    </w:rPr>
  </w:style>
  <w:style w:type="paragraph" w:customStyle="1" w:styleId="HeaderFirst">
    <w:name w:val="Header First"/>
    <w:basedOn w:val="Normal"/>
    <w:pPr>
      <w:keepLines/>
      <w:tabs>
        <w:tab w:val="center" w:pos="4320"/>
        <w:tab w:val="right" w:pos="8640"/>
      </w:tabs>
      <w:spacing w:after="480" w:line="240" w:lineRule="exact"/>
      <w:jc w:val="center"/>
    </w:pPr>
    <w:rPr>
      <w:smallCaps/>
      <w:sz w:val="28"/>
      <w:szCs w:val="28"/>
    </w:rPr>
  </w:style>
  <w:style w:type="paragraph" w:customStyle="1" w:styleId="HeaderEven">
    <w:name w:val="Header Even"/>
    <w:basedOn w:val="Normal"/>
    <w:pPr>
      <w:keepLines/>
      <w:tabs>
        <w:tab w:val="center" w:pos="4320"/>
        <w:tab w:val="right" w:pos="8640"/>
      </w:tabs>
      <w:spacing w:after="480" w:line="240" w:lineRule="exact"/>
      <w:jc w:val="center"/>
    </w:pPr>
    <w:rPr>
      <w:i/>
      <w:iCs/>
      <w:sz w:val="28"/>
      <w:szCs w:val="28"/>
    </w:rPr>
  </w:style>
  <w:style w:type="paragraph" w:customStyle="1" w:styleId="FooterOdd">
    <w:name w:val="Footer Odd"/>
    <w:basedOn w:val="Normal"/>
    <w:pPr>
      <w:keepLines/>
      <w:tabs>
        <w:tab w:val="center" w:pos="4320"/>
        <w:tab w:val="right" w:pos="9480"/>
      </w:tabs>
      <w:spacing w:before="600" w:line="240" w:lineRule="exact"/>
      <w:ind w:left="-840" w:right="-840"/>
      <w:jc w:val="center"/>
    </w:pPr>
    <w:rPr>
      <w:smallCaps/>
      <w:sz w:val="24"/>
      <w:szCs w:val="24"/>
    </w:rPr>
  </w:style>
  <w:style w:type="paragraph" w:customStyle="1" w:styleId="FooterFirst">
    <w:name w:val="Footer First"/>
    <w:basedOn w:val="Normal"/>
    <w:pPr>
      <w:keepLines/>
      <w:tabs>
        <w:tab w:val="center" w:pos="4320"/>
        <w:tab w:val="right" w:pos="9480"/>
      </w:tabs>
      <w:spacing w:before="600" w:line="240" w:lineRule="exact"/>
      <w:ind w:left="-840" w:right="-840"/>
      <w:jc w:val="center"/>
    </w:pPr>
    <w:rPr>
      <w:smallCaps/>
      <w:sz w:val="24"/>
      <w:szCs w:val="24"/>
    </w:rPr>
  </w:style>
  <w:style w:type="paragraph" w:customStyle="1" w:styleId="FooterEven">
    <w:name w:val="Footer Even"/>
    <w:basedOn w:val="Normal"/>
    <w:pPr>
      <w:keepLines/>
      <w:tabs>
        <w:tab w:val="center" w:pos="4320"/>
        <w:tab w:val="right" w:pos="9480"/>
      </w:tabs>
      <w:spacing w:before="600" w:line="240" w:lineRule="exact"/>
      <w:ind w:left="-840" w:right="-840"/>
      <w:jc w:val="center"/>
    </w:pPr>
    <w:rPr>
      <w:smallCaps/>
      <w:sz w:val="24"/>
      <w:szCs w:val="24"/>
    </w:rPr>
  </w:style>
  <w:style w:type="paragraph" w:customStyle="1" w:styleId="ChapterTitle">
    <w:name w:val="Chapter Title"/>
    <w:basedOn w:val="Normal"/>
    <w:pPr>
      <w:keepLines/>
      <w:spacing w:before="140"/>
      <w:jc w:val="center"/>
    </w:pPr>
    <w:rPr>
      <w:caps/>
      <w:sz w:val="44"/>
      <w:szCs w:val="44"/>
    </w:rPr>
  </w:style>
  <w:style w:type="paragraph" w:customStyle="1" w:styleId="ChapterLabel">
    <w:name w:val="Chapter Label"/>
    <w:basedOn w:val="Normal"/>
    <w:pPr>
      <w:keepLines/>
      <w:pBdr>
        <w:bottom w:val="single" w:sz="6" w:space="0" w:color="auto"/>
      </w:pBdr>
      <w:spacing w:after="720" w:line="240" w:lineRule="exact"/>
      <w:jc w:val="center"/>
    </w:pPr>
    <w:rPr>
      <w:caps/>
      <w:sz w:val="48"/>
      <w:szCs w:val="48"/>
    </w:rPr>
  </w:style>
  <w:style w:type="paragraph" w:customStyle="1" w:styleId="BlockQuotationLast">
    <w:name w:val="Block Quotation Last"/>
    <w:basedOn w:val="Normal"/>
    <w:pPr>
      <w:keepLines/>
      <w:spacing w:after="240" w:line="240" w:lineRule="exact"/>
      <w:ind w:left="720" w:right="720"/>
    </w:pPr>
    <w:rPr>
      <w:sz w:val="20"/>
    </w:rPr>
  </w:style>
  <w:style w:type="paragraph" w:customStyle="1" w:styleId="BlockQuotation">
    <w:name w:val="Block Quotation"/>
    <w:basedOn w:val="Normal"/>
    <w:pPr>
      <w:keepLines/>
      <w:pBdr>
        <w:top w:val="single" w:sz="6" w:space="0" w:color="auto"/>
        <w:left w:val="single" w:sz="6" w:space="0" w:color="auto"/>
        <w:bottom w:val="single" w:sz="6" w:space="0" w:color="auto"/>
        <w:right w:val="single" w:sz="6" w:space="0" w:color="auto"/>
      </w:pBdr>
      <w:spacing w:after="240" w:line="240" w:lineRule="exact"/>
      <w:ind w:left="720" w:right="720"/>
    </w:pPr>
    <w:rPr>
      <w:i/>
      <w:iCs/>
    </w:rPr>
  </w:style>
  <w:style w:type="paragraph" w:styleId="CommentText">
    <w:name w:val="annotation text"/>
    <w:basedOn w:val="Normal"/>
    <w:semiHidden/>
    <w:rPr>
      <w:sz w:val="20"/>
    </w:rPr>
  </w:style>
  <w:style w:type="paragraph" w:styleId="BodyText3">
    <w:name w:val="Body Text 3"/>
    <w:basedOn w:val="Normal"/>
    <w:pPr>
      <w:spacing w:after="240" w:line="240" w:lineRule="exact"/>
      <w:ind w:left="360" w:firstLine="360"/>
    </w:pPr>
  </w:style>
  <w:style w:type="paragraph" w:customStyle="1" w:styleId="Name">
    <w:name w:val="Name"/>
    <w:basedOn w:val="Normal"/>
    <w:pPr>
      <w:spacing w:after="240" w:line="240" w:lineRule="exact"/>
      <w:ind w:firstLine="360"/>
      <w:jc w:val="center"/>
    </w:pPr>
  </w:style>
  <w:style w:type="paragraph" w:customStyle="1" w:styleId="GlossaryDefinition">
    <w:name w:val="Glossary Definition"/>
    <w:basedOn w:val="Normal"/>
    <w:pPr>
      <w:spacing w:after="240"/>
      <w:ind w:firstLine="360"/>
    </w:pPr>
  </w:style>
  <w:style w:type="paragraph" w:customStyle="1" w:styleId="Author">
    <w:name w:val="Author"/>
    <w:basedOn w:val="Normal"/>
    <w:pPr>
      <w:spacing w:line="480" w:lineRule="auto"/>
      <w:ind w:firstLine="360"/>
      <w:jc w:val="center"/>
    </w:pPr>
  </w:style>
  <w:style w:type="paragraph" w:customStyle="1" w:styleId="TOCBase">
    <w:name w:val="TOC Base"/>
    <w:basedOn w:val="Normal"/>
    <w:pPr>
      <w:tabs>
        <w:tab w:val="right" w:leader="dot" w:pos="5040"/>
      </w:tabs>
      <w:spacing w:after="240" w:line="240" w:lineRule="exact"/>
    </w:pPr>
  </w:style>
  <w:style w:type="paragraph" w:customStyle="1" w:styleId="TitleCover">
    <w:name w:val="Title Cover"/>
    <w:basedOn w:val="Normal"/>
    <w:pPr>
      <w:keepLines/>
      <w:spacing w:after="240" w:line="720" w:lineRule="exact"/>
      <w:jc w:val="center"/>
    </w:pPr>
    <w:rPr>
      <w:caps/>
      <w:sz w:val="64"/>
      <w:szCs w:val="64"/>
    </w:rPr>
  </w:style>
  <w:style w:type="paragraph" w:customStyle="1" w:styleId="SectionLabel">
    <w:name w:val="Section Label"/>
    <w:basedOn w:val="Normal"/>
    <w:pPr>
      <w:keepLines/>
      <w:pBdr>
        <w:bottom w:val="single" w:sz="6" w:space="0" w:color="auto"/>
      </w:pBdr>
      <w:spacing w:after="720" w:line="240" w:lineRule="exact"/>
      <w:jc w:val="center"/>
    </w:pPr>
    <w:rPr>
      <w:caps/>
      <w:sz w:val="48"/>
      <w:szCs w:val="48"/>
    </w:rPr>
  </w:style>
  <w:style w:type="paragraph" w:customStyle="1" w:styleId="ReturnAddress">
    <w:name w:val="Return Address"/>
    <w:basedOn w:val="Normal"/>
    <w:pPr>
      <w:tabs>
        <w:tab w:val="left" w:pos="2160"/>
      </w:tabs>
      <w:spacing w:line="240" w:lineRule="exact"/>
      <w:ind w:right="-240"/>
      <w:jc w:val="center"/>
    </w:pPr>
    <w:rPr>
      <w:rFonts w:ascii="Garamond" w:hAnsi="Garamond"/>
      <w:caps/>
      <w:sz w:val="14"/>
      <w:szCs w:val="14"/>
    </w:rPr>
  </w:style>
  <w:style w:type="paragraph" w:customStyle="1" w:styleId="Picture">
    <w:name w:val="Picture"/>
    <w:basedOn w:val="Normal"/>
    <w:pPr>
      <w:keepLines/>
    </w:pPr>
  </w:style>
  <w:style w:type="paragraph" w:customStyle="1" w:styleId="PartSubtitle">
    <w:name w:val="Part Subtitle"/>
    <w:basedOn w:val="Normal"/>
    <w:pPr>
      <w:keepLines/>
      <w:spacing w:after="160" w:line="400" w:lineRule="exact"/>
      <w:ind w:right="2160"/>
    </w:pPr>
    <w:rPr>
      <w:i/>
      <w:iCs/>
      <w:sz w:val="34"/>
      <w:szCs w:val="34"/>
    </w:rPr>
  </w:style>
  <w:style w:type="paragraph" w:customStyle="1" w:styleId="ListNumberLast">
    <w:name w:val="List Number Last"/>
    <w:basedOn w:val="Normal"/>
    <w:pPr>
      <w:tabs>
        <w:tab w:val="left" w:pos="360"/>
      </w:tabs>
      <w:spacing w:after="240" w:line="240" w:lineRule="exact"/>
      <w:ind w:left="720" w:hanging="360"/>
    </w:pPr>
    <w:rPr>
      <w:sz w:val="20"/>
    </w:rPr>
  </w:style>
  <w:style w:type="paragraph" w:customStyle="1" w:styleId="ListNumberFirst">
    <w:name w:val="List Number First"/>
    <w:basedOn w:val="Normal"/>
    <w:pPr>
      <w:tabs>
        <w:tab w:val="left" w:pos="360"/>
      </w:tabs>
      <w:spacing w:before="80" w:after="160" w:line="240" w:lineRule="exact"/>
      <w:ind w:left="720" w:hanging="360"/>
    </w:pPr>
    <w:rPr>
      <w:sz w:val="20"/>
    </w:rPr>
  </w:style>
  <w:style w:type="paragraph" w:customStyle="1" w:styleId="ListLast">
    <w:name w:val="List Last"/>
    <w:basedOn w:val="Normal"/>
    <w:pPr>
      <w:tabs>
        <w:tab w:val="left" w:pos="360"/>
        <w:tab w:val="left" w:pos="720"/>
      </w:tabs>
      <w:spacing w:after="240" w:line="240" w:lineRule="exact"/>
      <w:ind w:left="720" w:hanging="360"/>
    </w:pPr>
    <w:rPr>
      <w:sz w:val="20"/>
    </w:rPr>
  </w:style>
  <w:style w:type="paragraph" w:customStyle="1" w:styleId="ListFirst">
    <w:name w:val="List First"/>
    <w:basedOn w:val="Normal"/>
    <w:pPr>
      <w:tabs>
        <w:tab w:val="left" w:pos="360"/>
      </w:tabs>
      <w:spacing w:before="80" w:after="80" w:line="240" w:lineRule="exact"/>
      <w:ind w:left="720" w:hanging="360"/>
    </w:pPr>
    <w:rPr>
      <w:sz w:val="20"/>
    </w:rPr>
  </w:style>
  <w:style w:type="paragraph" w:customStyle="1" w:styleId="ListBulletLast">
    <w:name w:val="List Bullet Last"/>
    <w:basedOn w:val="Normal"/>
    <w:pPr>
      <w:tabs>
        <w:tab w:val="left" w:pos="360"/>
      </w:tabs>
      <w:spacing w:after="240" w:line="240" w:lineRule="exact"/>
      <w:ind w:left="720" w:hanging="360"/>
    </w:pPr>
    <w:rPr>
      <w:sz w:val="20"/>
    </w:rPr>
  </w:style>
  <w:style w:type="paragraph" w:customStyle="1" w:styleId="ListBulletFirst">
    <w:name w:val="List Bullet First"/>
    <w:basedOn w:val="Normal"/>
    <w:pPr>
      <w:tabs>
        <w:tab w:val="left" w:pos="360"/>
      </w:tabs>
      <w:spacing w:before="80" w:after="160" w:line="240" w:lineRule="exact"/>
      <w:ind w:left="720" w:hanging="360"/>
    </w:pPr>
    <w:rPr>
      <w:sz w:val="20"/>
    </w:rPr>
  </w:style>
  <w:style w:type="paragraph" w:customStyle="1" w:styleId="IndexBase">
    <w:name w:val="Index Base"/>
    <w:basedOn w:val="Normal"/>
    <w:pPr>
      <w:tabs>
        <w:tab w:val="left" w:pos="360"/>
      </w:tabs>
      <w:spacing w:line="240" w:lineRule="exact"/>
      <w:ind w:left="360" w:hanging="360"/>
    </w:pPr>
  </w:style>
  <w:style w:type="paragraph" w:customStyle="1" w:styleId="Icon1">
    <w:name w:val="Icon 1"/>
    <w:basedOn w:val="Normal"/>
    <w:pPr>
      <w:spacing w:before="60" w:line="1440" w:lineRule="exact"/>
      <w:jc w:val="center"/>
    </w:pPr>
    <w:rPr>
      <w:rFonts w:ascii="Wingdings" w:hAnsi="Wingdings"/>
      <w:b/>
      <w:bCs/>
      <w:color w:val="FFFFFF"/>
      <w:sz w:val="160"/>
      <w:szCs w:val="160"/>
    </w:rPr>
  </w:style>
  <w:style w:type="paragraph" w:customStyle="1" w:styleId="HeadingBase">
    <w:name w:val="Heading Base"/>
    <w:basedOn w:val="Normal"/>
    <w:pPr>
      <w:keepLines/>
      <w:spacing w:line="240" w:lineRule="exact"/>
    </w:pPr>
  </w:style>
  <w:style w:type="paragraph" w:customStyle="1" w:styleId="HeaderBase">
    <w:name w:val="Header Base"/>
    <w:basedOn w:val="Normal"/>
    <w:pPr>
      <w:keepLines/>
      <w:tabs>
        <w:tab w:val="center" w:pos="4320"/>
        <w:tab w:val="right" w:pos="8640"/>
      </w:tabs>
      <w:spacing w:line="240" w:lineRule="exact"/>
      <w:jc w:val="center"/>
    </w:pPr>
    <w:rPr>
      <w:smallCaps/>
    </w:rPr>
  </w:style>
  <w:style w:type="paragraph" w:customStyle="1" w:styleId="FootnoteBase">
    <w:name w:val="Footnote Base"/>
    <w:basedOn w:val="Normal"/>
    <w:pPr>
      <w:keepLines/>
      <w:spacing w:after="240" w:line="200" w:lineRule="exact"/>
    </w:pPr>
    <w:rPr>
      <w:sz w:val="18"/>
      <w:szCs w:val="18"/>
    </w:rPr>
  </w:style>
  <w:style w:type="paragraph" w:customStyle="1" w:styleId="DocumentLabel">
    <w:name w:val="Document Label"/>
    <w:basedOn w:val="Normal"/>
    <w:pPr>
      <w:pBdr>
        <w:top w:val="single" w:sz="6" w:space="0" w:color="auto"/>
        <w:bottom w:val="single" w:sz="6" w:space="0" w:color="auto"/>
      </w:pBdr>
      <w:spacing w:line="240" w:lineRule="exact"/>
      <w:jc w:val="center"/>
    </w:pPr>
    <w:rPr>
      <w:rFonts w:ascii="Garamond" w:hAnsi="Garamond"/>
      <w:b/>
      <w:bCs/>
      <w:caps/>
      <w:sz w:val="18"/>
      <w:szCs w:val="18"/>
    </w:rPr>
  </w:style>
  <w:style w:type="paragraph" w:styleId="Date">
    <w:name w:val="Date"/>
    <w:basedOn w:val="Normal"/>
    <w:pPr>
      <w:spacing w:after="560" w:line="240" w:lineRule="exact"/>
      <w:ind w:firstLine="360"/>
      <w:jc w:val="center"/>
    </w:pPr>
  </w:style>
  <w:style w:type="paragraph" w:customStyle="1" w:styleId="CompanyName">
    <w:name w:val="Company Name"/>
    <w:basedOn w:val="Normal"/>
    <w:pPr>
      <w:keepLines/>
      <w:spacing w:after="40" w:line="240" w:lineRule="exact"/>
      <w:jc w:val="center"/>
    </w:pPr>
    <w:rPr>
      <w:caps/>
    </w:rPr>
  </w:style>
  <w:style w:type="paragraph" w:customStyle="1" w:styleId="BodyTextKeep">
    <w:name w:val="Body Text Keep"/>
    <w:basedOn w:val="Normal"/>
    <w:pPr>
      <w:keepLines/>
      <w:spacing w:after="240" w:line="240" w:lineRule="exact"/>
      <w:ind w:firstLine="360"/>
    </w:pPr>
  </w:style>
  <w:style w:type="paragraph" w:customStyle="1" w:styleId="BlockQuotationFirst">
    <w:name w:val="Block Quotation First"/>
    <w:basedOn w:val="Normal"/>
    <w:pPr>
      <w:keepLines/>
      <w:pBdr>
        <w:top w:val="single" w:sz="6" w:space="0" w:color="auto"/>
        <w:left w:val="single" w:sz="6" w:space="0" w:color="auto"/>
        <w:right w:val="single" w:sz="6" w:space="0" w:color="auto"/>
      </w:pBdr>
      <w:ind w:left="480" w:right="480" w:firstLine="60"/>
    </w:pPr>
    <w:rPr>
      <w:rFonts w:ascii="Arial Black" w:hAnsi="Arial Black"/>
      <w:sz w:val="21"/>
      <w:szCs w:val="21"/>
    </w:rPr>
  </w:style>
  <w:style w:type="paragraph" w:customStyle="1" w:styleId="DefaultText">
    <w:name w:val="Default Text"/>
    <w:basedOn w:val="Normal"/>
    <w:rPr>
      <w:sz w:val="24"/>
      <w:szCs w:val="24"/>
    </w:rPr>
  </w:style>
  <w:style w:type="character" w:customStyle="1" w:styleId="GlossaryEntry">
    <w:name w:val="Glossary Entry"/>
    <w:rPr>
      <w:b/>
      <w:bCs/>
    </w:rPr>
  </w:style>
  <w:style w:type="character" w:customStyle="1" w:styleId="Slogan">
    <w:name w:val="Slogan"/>
    <w:rPr>
      <w:i/>
      <w:iCs/>
    </w:rPr>
  </w:style>
  <w:style w:type="character" w:customStyle="1" w:styleId="Superscript">
    <w:name w:val="Superscript"/>
    <w:rPr>
      <w:vertAlign w:val="superscript"/>
    </w:rPr>
  </w:style>
  <w:style w:type="character" w:customStyle="1" w:styleId="Lead-inEmphasis">
    <w:name w:val="Lead-in Emphasis"/>
    <w:rPr>
      <w:caps/>
      <w:sz w:val="18"/>
      <w:szCs w:val="18"/>
    </w:rPr>
  </w:style>
  <w:style w:type="character" w:styleId="Emphasis">
    <w:name w:val="Emphasis"/>
    <w:qFormat/>
    <w:rPr>
      <w:caps/>
      <w:sz w:val="18"/>
      <w:szCs w:val="18"/>
    </w:rPr>
  </w:style>
  <w:style w:type="character" w:styleId="CommentReference">
    <w:name w:val="annotation reference"/>
    <w:semiHidden/>
    <w:rPr>
      <w:sz w:val="16"/>
      <w:szCs w:val="16"/>
    </w:rPr>
  </w:style>
  <w:style w:type="paragraph" w:customStyle="1" w:styleId="CoverContent">
    <w:name w:val="Cover Content"/>
    <w:basedOn w:val="Subtitle"/>
    <w:pPr>
      <w:spacing w:before="600" w:after="120"/>
    </w:pPr>
    <w:rPr>
      <w:smallCaps/>
      <w:sz w:val="28"/>
    </w:rPr>
  </w:style>
  <w:style w:type="paragraph" w:customStyle="1" w:styleId="ContentItem">
    <w:name w:val="Content Item"/>
    <w:basedOn w:val="CoverContent"/>
    <w:pPr>
      <w:spacing w:before="120" w:after="0"/>
      <w:ind w:right="720"/>
    </w:pPr>
  </w:style>
  <w:style w:type="paragraph" w:customStyle="1" w:styleId="SubjectLine">
    <w:name w:val="Subject Line"/>
    <w:basedOn w:val="Normal"/>
    <w:next w:val="BodyText"/>
    <w:pPr>
      <w:spacing w:after="180" w:line="240" w:lineRule="atLeast"/>
      <w:ind w:left="360" w:hanging="360"/>
      <w:jc w:val="left"/>
    </w:pPr>
    <w:rPr>
      <w:b/>
      <w:caps/>
    </w:rPr>
  </w:style>
  <w:style w:type="paragraph" w:customStyle="1" w:styleId="InsideAddress">
    <w:name w:val="Inside Address"/>
    <w:basedOn w:val="Normal"/>
    <w:pPr>
      <w:spacing w:line="220" w:lineRule="atLeast"/>
    </w:pPr>
    <w:rPr>
      <w:spacing w:val="-5"/>
      <w:kern w:val="0"/>
      <w:lang w:bidi="ar-SA"/>
    </w:rPr>
  </w:style>
  <w:style w:type="paragraph" w:customStyle="1" w:styleId="UtilityName">
    <w:name w:val="Utility Name"/>
    <w:basedOn w:val="Subtitle"/>
    <w:next w:val="BodyText"/>
    <w:rPr>
      <w:sz w:val="26"/>
    </w:rPr>
  </w:style>
  <w:style w:type="paragraph" w:customStyle="1" w:styleId="Enclosure">
    <w:name w:val="Enclosure"/>
    <w:basedOn w:val="Normal"/>
    <w:next w:val="Normal"/>
    <w:pPr>
      <w:keepNext/>
      <w:keepLines/>
      <w:spacing w:after="220" w:line="220" w:lineRule="atLeast"/>
    </w:pPr>
    <w:rPr>
      <w:spacing w:val="-5"/>
      <w:kern w:val="0"/>
      <w:lang w:bidi="ar-SA"/>
    </w:rPr>
  </w:style>
  <w:style w:type="paragraph" w:customStyle="1" w:styleId="CcList">
    <w:name w:val="Cc List"/>
    <w:basedOn w:val="Normal"/>
    <w:pPr>
      <w:keepLines/>
      <w:spacing w:line="220" w:lineRule="atLeast"/>
      <w:ind w:left="360" w:hanging="360"/>
    </w:pPr>
    <w:rPr>
      <w:spacing w:val="-5"/>
      <w:kern w:val="0"/>
      <w:lang w:bidi="ar-SA"/>
    </w:rPr>
  </w:style>
  <w:style w:type="character" w:customStyle="1" w:styleId="PersonalComposeStyle">
    <w:name w:val="Personal Compose Style"/>
    <w:rPr>
      <w:rFonts w:ascii="Arial" w:hAnsi="Arial" w:cs="Arial"/>
      <w:color w:val="auto"/>
      <w:sz w:val="20"/>
    </w:rPr>
  </w:style>
  <w:style w:type="paragraph" w:customStyle="1" w:styleId="NumberList">
    <w:name w:val="Number List"/>
    <w:basedOn w:val="BodyText"/>
    <w:pPr>
      <w:tabs>
        <w:tab w:val="num" w:pos="360"/>
      </w:tabs>
      <w:ind w:left="360" w:hanging="360"/>
    </w:pPr>
  </w:style>
  <w:style w:type="character" w:customStyle="1" w:styleId="PersonalReplyStyle">
    <w:name w:val="Personal Reply Style"/>
    <w:rPr>
      <w:rFonts w:ascii="Arial" w:hAnsi="Arial" w:cs="Arial"/>
      <w:color w:val="auto"/>
      <w:sz w:val="20"/>
    </w:rPr>
  </w:style>
  <w:style w:type="paragraph" w:styleId="BodyTextIndent3">
    <w:name w:val="Body Text Indent 3"/>
    <w:basedOn w:val="Normal"/>
    <w:pPr>
      <w:spacing w:after="120"/>
      <w:ind w:left="1080"/>
    </w:pPr>
    <w:rPr>
      <w:szCs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Heading4Char">
    <w:name w:val="Heading 4 Char"/>
    <w:link w:val="Heading4"/>
    <w:rsid w:val="00983FE6"/>
    <w:rPr>
      <w:i/>
      <w:iCs/>
      <w:kern w:val="18"/>
      <w:sz w:val="24"/>
      <w:szCs w:val="24"/>
      <w:u w:val="single"/>
      <w:lang w:bidi="he-IL"/>
    </w:rPr>
  </w:style>
  <w:style w:type="character" w:customStyle="1" w:styleId="Heading5Char">
    <w:name w:val="Heading 5 Char"/>
    <w:link w:val="Heading5"/>
    <w:rsid w:val="00C72726"/>
    <w:rPr>
      <w:i/>
      <w:iCs/>
      <w:kern w:val="18"/>
      <w:sz w:val="24"/>
      <w:szCs w:val="24"/>
      <w:u w:val="single"/>
      <w:lang w:val="en-US" w:eastAsia="en-US" w:bidi="he-IL"/>
    </w:rPr>
  </w:style>
  <w:style w:type="table" w:styleId="TableGrid">
    <w:name w:val="Table Grid"/>
    <w:basedOn w:val="TableNormal"/>
    <w:rsid w:val="00532C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32910"/>
    <w:pPr>
      <w:shd w:val="clear" w:color="auto" w:fill="000080"/>
    </w:pPr>
    <w:rPr>
      <w:rFonts w:ascii="Tahoma" w:hAnsi="Tahoma" w:cs="Tahoma"/>
      <w:sz w:val="20"/>
    </w:rPr>
  </w:style>
  <w:style w:type="character" w:customStyle="1" w:styleId="FooterChar">
    <w:name w:val="Footer Char"/>
    <w:basedOn w:val="DefaultParagraphFont"/>
    <w:link w:val="Footer"/>
    <w:rsid w:val="00667A1A"/>
    <w:rPr>
      <w:kern w:val="18"/>
      <w:sz w:val="16"/>
      <w:szCs w:val="16"/>
      <w:lang w:bidi="he-IL"/>
    </w:rPr>
  </w:style>
  <w:style w:type="character" w:customStyle="1" w:styleId="HeaderChar">
    <w:name w:val="Header Char"/>
    <w:basedOn w:val="DefaultParagraphFont"/>
    <w:link w:val="Header"/>
    <w:uiPriority w:val="99"/>
    <w:rsid w:val="00003BE2"/>
    <w:rPr>
      <w:spacing w:val="-5"/>
      <w:sz w:val="22"/>
    </w:rPr>
  </w:style>
  <w:style w:type="paragraph" w:styleId="Revision">
    <w:name w:val="Revision"/>
    <w:hidden/>
    <w:uiPriority w:val="99"/>
    <w:semiHidden/>
    <w:rsid w:val="00933135"/>
    <w:rPr>
      <w:kern w:val="18"/>
      <w:sz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15072">
      <w:bodyDiv w:val="1"/>
      <w:marLeft w:val="0"/>
      <w:marRight w:val="0"/>
      <w:marTop w:val="0"/>
      <w:marBottom w:val="0"/>
      <w:divBdr>
        <w:top w:val="none" w:sz="0" w:space="0" w:color="auto"/>
        <w:left w:val="none" w:sz="0" w:space="0" w:color="auto"/>
        <w:bottom w:val="none" w:sz="0" w:space="0" w:color="auto"/>
        <w:right w:val="none" w:sz="0" w:space="0" w:color="auto"/>
      </w:divBdr>
    </w:div>
    <w:div w:id="1105076230">
      <w:bodyDiv w:val="1"/>
      <w:marLeft w:val="0"/>
      <w:marRight w:val="0"/>
      <w:marTop w:val="0"/>
      <w:marBottom w:val="0"/>
      <w:divBdr>
        <w:top w:val="none" w:sz="0" w:space="0" w:color="auto"/>
        <w:left w:val="none" w:sz="0" w:space="0" w:color="auto"/>
        <w:bottom w:val="none" w:sz="0" w:space="0" w:color="auto"/>
        <w:right w:val="none" w:sz="0" w:space="0" w:color="auto"/>
      </w:divBdr>
    </w:div>
    <w:div w:id="15062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518A4-A1D1-4E35-BB04-3688F36D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Residential Net Billing</vt:lpstr>
    </vt:vector>
  </TitlesOfParts>
  <Company>Power System Engineering, Inc</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Net Billing</dc:title>
  <dc:creator>Jeffrey C. Laslie</dc:creator>
  <cp:lastModifiedBy>Ron Raypole</cp:lastModifiedBy>
  <cp:revision>15</cp:revision>
  <cp:lastPrinted>2020-02-21T18:28:00Z</cp:lastPrinted>
  <dcterms:created xsi:type="dcterms:W3CDTF">2020-02-13T14:36:00Z</dcterms:created>
  <dcterms:modified xsi:type="dcterms:W3CDTF">2020-02-21T18:28:00Z</dcterms:modified>
</cp:coreProperties>
</file>